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BF2BA" w14:textId="77777777" w:rsidR="008833F8" w:rsidRPr="00A70013" w:rsidRDefault="003C1080" w:rsidP="00A70013">
      <w:pPr>
        <w:pStyle w:val="Titolo"/>
        <w:spacing w:line="276" w:lineRule="auto"/>
        <w:rPr>
          <w:rFonts w:ascii="Titillium" w:hAnsi="Titillium"/>
          <w:sz w:val="20"/>
          <w:szCs w:val="20"/>
          <w:lang w:eastAsia="en-US"/>
        </w:rPr>
      </w:pPr>
      <w:bookmarkStart w:id="0" w:name="_GoBack"/>
      <w:bookmarkEnd w:id="0"/>
      <w:r w:rsidRPr="00A70013">
        <w:rPr>
          <w:rFonts w:ascii="Titillium" w:hAnsi="Titillium"/>
          <w:sz w:val="20"/>
          <w:szCs w:val="20"/>
        </w:rPr>
        <w:t xml:space="preserve">Criteri di </w:t>
      </w:r>
      <w:r w:rsidR="00572A37" w:rsidRPr="00A70013">
        <w:rPr>
          <w:rFonts w:ascii="Titillium" w:hAnsi="Titillium"/>
          <w:sz w:val="20"/>
          <w:szCs w:val="20"/>
        </w:rPr>
        <w:t>compilazione della Griglia di rilevazione</w:t>
      </w:r>
    </w:p>
    <w:p w14:paraId="2E0B7CE6" w14:textId="77777777" w:rsidR="00A65E5F" w:rsidRPr="00A70013" w:rsidRDefault="00A65E5F" w:rsidP="00A70013">
      <w:pPr>
        <w:spacing w:after="0" w:line="276" w:lineRule="auto"/>
        <w:rPr>
          <w:rFonts w:ascii="Titillium" w:hAnsi="Titillium"/>
          <w:sz w:val="20"/>
          <w:szCs w:val="20"/>
        </w:rPr>
      </w:pPr>
    </w:p>
    <w:p w14:paraId="09C3474B" w14:textId="59D3F380" w:rsidR="00F00A05" w:rsidRPr="00A70013" w:rsidRDefault="00F00A05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>Premesse</w:t>
      </w:r>
    </w:p>
    <w:p w14:paraId="2392C384" w14:textId="6D7963AF" w:rsidR="00F00A05" w:rsidRPr="00A70013" w:rsidRDefault="00F00A05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 partire dal 2021, ogni amministrazione</w:t>
      </w:r>
      <w:r w:rsidR="00F1699C" w:rsidRPr="00A70013">
        <w:rPr>
          <w:rFonts w:ascii="Titillium" w:hAnsi="Titillium"/>
          <w:sz w:val="20"/>
          <w:szCs w:val="20"/>
        </w:rPr>
        <w:t>/ente o altro soggetto tenuto ad attestare gli obblighi di pubblicazione</w:t>
      </w:r>
      <w:r w:rsidRPr="00A70013">
        <w:rPr>
          <w:rFonts w:ascii="Titillium" w:hAnsi="Titillium"/>
          <w:sz w:val="20"/>
          <w:szCs w:val="20"/>
        </w:rPr>
        <w:t xml:space="preserve"> avrà cura di trasmettere all’ANAC, nelle modalità e scadenze indicate nella delibera</w:t>
      </w:r>
      <w:r w:rsidR="00F1699C" w:rsidRPr="00A70013">
        <w:rPr>
          <w:rFonts w:ascii="Titillium" w:hAnsi="Titillium"/>
          <w:sz w:val="20"/>
          <w:szCs w:val="20"/>
        </w:rPr>
        <w:t xml:space="preserve"> adottata dal Consiglio dell’Autorità</w:t>
      </w:r>
      <w:r w:rsidRPr="00A70013">
        <w:rPr>
          <w:rFonts w:ascii="Titillium" w:hAnsi="Titillium"/>
          <w:sz w:val="20"/>
          <w:szCs w:val="20"/>
        </w:rPr>
        <w:t xml:space="preserve">, le griglie di rilevazione utilizzando </w:t>
      </w:r>
      <w:r w:rsidR="00994DA1" w:rsidRPr="00A70013">
        <w:rPr>
          <w:rFonts w:ascii="Titillium" w:hAnsi="Titillium"/>
          <w:sz w:val="20"/>
          <w:szCs w:val="20"/>
        </w:rPr>
        <w:t xml:space="preserve">uno o più file messi a disposizione </w:t>
      </w:r>
      <w:r w:rsidR="001430DC" w:rsidRPr="00A70013">
        <w:rPr>
          <w:rFonts w:ascii="Titillium" w:hAnsi="Titillium"/>
          <w:sz w:val="20"/>
          <w:szCs w:val="20"/>
        </w:rPr>
        <w:t>allo scopo</w:t>
      </w:r>
      <w:r w:rsidR="00F1699C" w:rsidRPr="00A70013">
        <w:rPr>
          <w:rFonts w:ascii="Titillium" w:hAnsi="Titillium"/>
          <w:sz w:val="20"/>
          <w:szCs w:val="20"/>
        </w:rPr>
        <w:t xml:space="preserve"> e pubblicati sul sito</w:t>
      </w:r>
      <w:r w:rsidR="007A55E4" w:rsidRPr="00A70013">
        <w:rPr>
          <w:rFonts w:ascii="Titillium" w:hAnsi="Titillium"/>
          <w:sz w:val="20"/>
          <w:szCs w:val="20"/>
        </w:rPr>
        <w:t xml:space="preserve"> </w:t>
      </w:r>
      <w:r w:rsidR="007A55E4" w:rsidRPr="00A70013">
        <w:rPr>
          <w:rFonts w:ascii="Titillium" w:hAnsi="Titillium"/>
          <w:i/>
          <w:sz w:val="20"/>
          <w:szCs w:val="20"/>
        </w:rPr>
        <w:t>web</w:t>
      </w:r>
      <w:r w:rsidR="00F1699C" w:rsidRPr="00A70013">
        <w:rPr>
          <w:rFonts w:ascii="Titillium" w:hAnsi="Titillium"/>
          <w:sz w:val="20"/>
          <w:szCs w:val="20"/>
        </w:rPr>
        <w:t xml:space="preserve"> istituzionale dell’ANAC</w:t>
      </w:r>
      <w:r w:rsidRPr="00A70013">
        <w:rPr>
          <w:rFonts w:ascii="Titillium" w:hAnsi="Titillium"/>
          <w:sz w:val="20"/>
          <w:szCs w:val="20"/>
        </w:rPr>
        <w:t>.</w:t>
      </w:r>
    </w:p>
    <w:p w14:paraId="50636C6E" w14:textId="77777777" w:rsidR="00F00A05" w:rsidRPr="00A70013" w:rsidRDefault="00F00A05" w:rsidP="00A70013">
      <w:pPr>
        <w:spacing w:after="0" w:line="276" w:lineRule="auto"/>
        <w:rPr>
          <w:rFonts w:ascii="Titillium" w:hAnsi="Titillium"/>
          <w:sz w:val="20"/>
          <w:szCs w:val="20"/>
          <w:highlight w:val="yellow"/>
        </w:rPr>
      </w:pPr>
    </w:p>
    <w:p w14:paraId="11438AC3" w14:textId="77777777" w:rsidR="00F00A05" w:rsidRPr="00A70013" w:rsidRDefault="00F00A05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Requisiti di </w:t>
      </w:r>
      <w:r w:rsidR="005E5398" w:rsidRPr="00A70013">
        <w:rPr>
          <w:rFonts w:ascii="Titillium" w:hAnsi="Titillium"/>
          <w:i/>
          <w:sz w:val="20"/>
          <w:szCs w:val="20"/>
        </w:rPr>
        <w:t xml:space="preserve">sistema </w:t>
      </w:r>
    </w:p>
    <w:p w14:paraId="7283EF12" w14:textId="3A68ED22" w:rsidR="00994DA1" w:rsidRPr="00A70013" w:rsidRDefault="00994DA1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Le griglie di rilevazione consistono in uno o più </w:t>
      </w:r>
      <w:r w:rsidRPr="00A70013">
        <w:rPr>
          <w:rFonts w:ascii="Titillium" w:hAnsi="Titillium"/>
          <w:i/>
          <w:sz w:val="20"/>
          <w:szCs w:val="20"/>
        </w:rPr>
        <w:t>file</w:t>
      </w:r>
      <w:r w:rsidRPr="00A70013">
        <w:rPr>
          <w:rFonts w:ascii="Titillium" w:hAnsi="Titillium"/>
          <w:sz w:val="20"/>
          <w:szCs w:val="20"/>
        </w:rPr>
        <w:t xml:space="preserve"> in formato Microsoft </w:t>
      </w:r>
      <w:r w:rsidRPr="00A70013">
        <w:rPr>
          <w:rFonts w:ascii="Titillium" w:hAnsi="Titillium"/>
          <w:i/>
          <w:sz w:val="20"/>
          <w:szCs w:val="20"/>
        </w:rPr>
        <w:t>Excel</w:t>
      </w:r>
      <w:r w:rsidR="00B92898" w:rsidRPr="00A70013">
        <w:rPr>
          <w:rFonts w:ascii="Titillium" w:hAnsi="Titillium"/>
          <w:sz w:val="20"/>
          <w:szCs w:val="20"/>
        </w:rPr>
        <w:t xml:space="preserve"> e</w:t>
      </w:r>
      <w:r w:rsidRPr="00A70013">
        <w:rPr>
          <w:rFonts w:ascii="Titillium" w:hAnsi="Titillium"/>
          <w:sz w:val="20"/>
          <w:szCs w:val="20"/>
        </w:rPr>
        <w:t xml:space="preserve"> la loro compilazione avviene o tramite selezione di un valore</w:t>
      </w:r>
      <w:r w:rsidR="00F556DE" w:rsidRPr="00A70013">
        <w:rPr>
          <w:rFonts w:ascii="Titillium" w:hAnsi="Titillium"/>
          <w:sz w:val="20"/>
          <w:szCs w:val="20"/>
        </w:rPr>
        <w:t>,</w:t>
      </w:r>
      <w:r w:rsidRPr="00A70013">
        <w:rPr>
          <w:rFonts w:ascii="Titillium" w:hAnsi="Titillium"/>
          <w:sz w:val="20"/>
          <w:szCs w:val="20"/>
        </w:rPr>
        <w:t xml:space="preserve"> tra quelli previsti da apposit</w:t>
      </w:r>
      <w:r w:rsidR="001430DC" w:rsidRPr="00A70013">
        <w:rPr>
          <w:rFonts w:ascii="Titillium" w:hAnsi="Titillium"/>
          <w:sz w:val="20"/>
          <w:szCs w:val="20"/>
        </w:rPr>
        <w:t>i</w:t>
      </w:r>
      <w:r w:rsidRPr="00A70013">
        <w:rPr>
          <w:rFonts w:ascii="Titillium" w:hAnsi="Titillium"/>
          <w:sz w:val="20"/>
          <w:szCs w:val="20"/>
        </w:rPr>
        <w:t xml:space="preserve"> </w:t>
      </w:r>
      <w:r w:rsidR="001430DC" w:rsidRPr="00A70013">
        <w:rPr>
          <w:rFonts w:ascii="Titillium" w:hAnsi="Titillium"/>
          <w:sz w:val="20"/>
          <w:szCs w:val="20"/>
        </w:rPr>
        <w:t>elenchi</w:t>
      </w:r>
      <w:r w:rsidRPr="00A70013">
        <w:rPr>
          <w:rFonts w:ascii="Titillium" w:hAnsi="Titillium"/>
          <w:sz w:val="20"/>
          <w:szCs w:val="20"/>
        </w:rPr>
        <w:t xml:space="preserve"> a discesa</w:t>
      </w:r>
      <w:r w:rsidR="00F556DE" w:rsidRPr="00A70013">
        <w:rPr>
          <w:rFonts w:ascii="Titillium" w:hAnsi="Titillium"/>
          <w:sz w:val="20"/>
          <w:szCs w:val="20"/>
        </w:rPr>
        <w:t>,</w:t>
      </w:r>
      <w:r w:rsidRPr="00A70013">
        <w:rPr>
          <w:rFonts w:ascii="Titillium" w:hAnsi="Titillium"/>
          <w:sz w:val="20"/>
          <w:szCs w:val="20"/>
        </w:rPr>
        <w:t xml:space="preserve"> oppure inserendo un testo libero. Si noti che, ove previsto, </w:t>
      </w:r>
      <w:r w:rsidR="001430DC" w:rsidRPr="00A70013">
        <w:rPr>
          <w:rFonts w:ascii="Titillium" w:hAnsi="Titillium"/>
          <w:sz w:val="20"/>
          <w:szCs w:val="20"/>
        </w:rPr>
        <w:t>l’elenco</w:t>
      </w:r>
      <w:r w:rsidRPr="00A70013">
        <w:rPr>
          <w:rFonts w:ascii="Titillium" w:hAnsi="Titillium"/>
          <w:sz w:val="20"/>
          <w:szCs w:val="20"/>
        </w:rPr>
        <w:t xml:space="preserve"> a discesa compare solo quando si seleziona la cella.</w:t>
      </w:r>
    </w:p>
    <w:p w14:paraId="0A028E07" w14:textId="632896C0" w:rsidR="00994DA1" w:rsidRPr="00A70013" w:rsidRDefault="00994DA1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Per l’inserimento dei dati </w:t>
      </w:r>
      <w:r w:rsidR="00D229ED">
        <w:rPr>
          <w:rFonts w:ascii="Titillium" w:hAnsi="Titillium"/>
          <w:sz w:val="20"/>
          <w:szCs w:val="20"/>
        </w:rPr>
        <w:t>si può</w:t>
      </w:r>
      <w:r w:rsidRPr="00A70013">
        <w:rPr>
          <w:rFonts w:ascii="Titillium" w:hAnsi="Titillium"/>
          <w:sz w:val="20"/>
          <w:szCs w:val="20"/>
        </w:rPr>
        <w:t xml:space="preserve"> utilizzare uno dei seguenti </w:t>
      </w:r>
      <w:r w:rsidRPr="00A70013">
        <w:rPr>
          <w:rFonts w:ascii="Titillium" w:hAnsi="Titillium"/>
          <w:i/>
          <w:sz w:val="20"/>
          <w:szCs w:val="20"/>
        </w:rPr>
        <w:t>software</w:t>
      </w:r>
      <w:r w:rsidRPr="00A70013">
        <w:rPr>
          <w:rFonts w:ascii="Titillium" w:hAnsi="Titillium"/>
          <w:sz w:val="20"/>
          <w:szCs w:val="20"/>
        </w:rPr>
        <w:t>:</w:t>
      </w:r>
    </w:p>
    <w:p w14:paraId="4BEE1226" w14:textId="229FD032" w:rsidR="00994DA1" w:rsidRPr="003A06E5" w:rsidRDefault="00994DA1" w:rsidP="00A70013">
      <w:pPr>
        <w:pStyle w:val="Paragrafoelenco"/>
        <w:numPr>
          <w:ilvl w:val="0"/>
          <w:numId w:val="16"/>
        </w:numPr>
        <w:spacing w:after="0" w:line="276" w:lineRule="auto"/>
        <w:rPr>
          <w:rFonts w:ascii="Titillium" w:hAnsi="Titillium"/>
          <w:i/>
          <w:sz w:val="20"/>
          <w:szCs w:val="20"/>
        </w:rPr>
      </w:pPr>
      <w:r w:rsidRPr="003A06E5">
        <w:rPr>
          <w:rFonts w:ascii="Titillium" w:hAnsi="Titillium"/>
          <w:i/>
          <w:sz w:val="20"/>
          <w:szCs w:val="20"/>
        </w:rPr>
        <w:t>Microsoft Excel</w:t>
      </w:r>
    </w:p>
    <w:p w14:paraId="2D6300C5" w14:textId="4C9CD9EC" w:rsidR="001430DC" w:rsidRPr="00A70013" w:rsidRDefault="00994DA1" w:rsidP="00A70013">
      <w:pPr>
        <w:pStyle w:val="Paragrafoelenco"/>
        <w:numPr>
          <w:ilvl w:val="0"/>
          <w:numId w:val="16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3A06E5">
        <w:rPr>
          <w:rFonts w:ascii="Titillium" w:hAnsi="Titillium"/>
          <w:i/>
          <w:sz w:val="20"/>
          <w:szCs w:val="20"/>
        </w:rPr>
        <w:t>Libre Office</w:t>
      </w:r>
    </w:p>
    <w:p w14:paraId="0CB60488" w14:textId="6CDEBAA7" w:rsidR="00994DA1" w:rsidRPr="00A70013" w:rsidRDefault="00994DA1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È possibile che</w:t>
      </w:r>
      <w:r w:rsidR="00B92898" w:rsidRPr="00A70013">
        <w:rPr>
          <w:rFonts w:ascii="Titillium" w:hAnsi="Titillium"/>
          <w:sz w:val="20"/>
          <w:szCs w:val="20"/>
        </w:rPr>
        <w:t>,</w:t>
      </w:r>
      <w:r w:rsidRPr="00A70013">
        <w:rPr>
          <w:rFonts w:ascii="Titillium" w:hAnsi="Titillium"/>
          <w:sz w:val="20"/>
          <w:szCs w:val="20"/>
        </w:rPr>
        <w:t xml:space="preserve"> utilizzando una versione di Microsoft Excel obsoleta, </w:t>
      </w:r>
      <w:r w:rsidR="001430DC" w:rsidRPr="00A70013">
        <w:rPr>
          <w:rFonts w:ascii="Titillium" w:hAnsi="Titillium"/>
          <w:sz w:val="20"/>
          <w:szCs w:val="20"/>
        </w:rPr>
        <w:t>gli elenchi</w:t>
      </w:r>
      <w:r w:rsidRPr="00A70013">
        <w:rPr>
          <w:rFonts w:ascii="Titillium" w:hAnsi="Titillium"/>
          <w:sz w:val="20"/>
          <w:szCs w:val="20"/>
        </w:rPr>
        <w:t xml:space="preserve"> a discesa non siano visibili, in quel caso </w:t>
      </w:r>
      <w:r w:rsidR="00D229ED">
        <w:rPr>
          <w:rFonts w:ascii="Titillium" w:hAnsi="Titillium"/>
          <w:sz w:val="20"/>
          <w:szCs w:val="20"/>
        </w:rPr>
        <w:t>sarà</w:t>
      </w:r>
      <w:r w:rsidRPr="00A70013">
        <w:rPr>
          <w:rFonts w:ascii="Titillium" w:hAnsi="Titillium"/>
          <w:sz w:val="20"/>
          <w:szCs w:val="20"/>
        </w:rPr>
        <w:t xml:space="preserve"> necessario utilizzare </w:t>
      </w:r>
      <w:r w:rsidR="00D229ED">
        <w:rPr>
          <w:rFonts w:ascii="Titillium" w:hAnsi="Titillium"/>
          <w:sz w:val="20"/>
          <w:szCs w:val="20"/>
        </w:rPr>
        <w:t>l’altro</w:t>
      </w:r>
      <w:r w:rsidRPr="00A70013">
        <w:rPr>
          <w:rFonts w:ascii="Titillium" w:hAnsi="Titillium"/>
          <w:sz w:val="20"/>
          <w:szCs w:val="20"/>
        </w:rPr>
        <w:t xml:space="preserve"> </w:t>
      </w:r>
      <w:r w:rsidRPr="00A70013">
        <w:rPr>
          <w:rFonts w:ascii="Titillium" w:hAnsi="Titillium"/>
          <w:i/>
          <w:sz w:val="20"/>
          <w:szCs w:val="20"/>
        </w:rPr>
        <w:t>software</w:t>
      </w:r>
      <w:r w:rsidRPr="00A70013">
        <w:rPr>
          <w:rFonts w:ascii="Titillium" w:hAnsi="Titillium"/>
          <w:sz w:val="20"/>
          <w:szCs w:val="20"/>
        </w:rPr>
        <w:t>.</w:t>
      </w:r>
    </w:p>
    <w:p w14:paraId="119E7E1D" w14:textId="77777777" w:rsidR="00F00A05" w:rsidRPr="00A70013" w:rsidRDefault="00F00A05" w:rsidP="00A70013">
      <w:pPr>
        <w:spacing w:after="0" w:line="276" w:lineRule="auto"/>
        <w:rPr>
          <w:rFonts w:ascii="Titillium" w:hAnsi="Titillium"/>
          <w:sz w:val="20"/>
          <w:szCs w:val="20"/>
          <w:highlight w:val="yellow"/>
        </w:rPr>
      </w:pPr>
    </w:p>
    <w:p w14:paraId="0858C98C" w14:textId="77777777" w:rsidR="00F00A05" w:rsidRPr="00A70013" w:rsidRDefault="00F00A05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Dati identificativi </w:t>
      </w:r>
    </w:p>
    <w:p w14:paraId="5138BD60" w14:textId="782A4136" w:rsidR="005E5398" w:rsidRPr="00A70013" w:rsidRDefault="00F00A05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Ogni amministrazione</w:t>
      </w:r>
      <w:r w:rsidR="00F1699C" w:rsidRPr="00A70013">
        <w:rPr>
          <w:rFonts w:ascii="Titillium" w:hAnsi="Titillium"/>
          <w:sz w:val="20"/>
          <w:szCs w:val="20"/>
        </w:rPr>
        <w:t>/ente o altro soggetto tenuto ad attestare gli obblighi di pubblicazione,</w:t>
      </w:r>
      <w:r w:rsidRPr="00A70013">
        <w:rPr>
          <w:rFonts w:ascii="Titillium" w:hAnsi="Titillium"/>
          <w:sz w:val="20"/>
          <w:szCs w:val="20"/>
        </w:rPr>
        <w:t xml:space="preserve"> avrà cura di inserire </w:t>
      </w:r>
      <w:r w:rsidRPr="00A70013">
        <w:rPr>
          <w:rFonts w:ascii="Titillium" w:hAnsi="Titillium"/>
          <w:sz w:val="20"/>
          <w:szCs w:val="20"/>
          <w:u w:val="single"/>
        </w:rPr>
        <w:t>obbligatoriamente</w:t>
      </w:r>
      <w:r w:rsidRPr="00A70013">
        <w:rPr>
          <w:rFonts w:ascii="Titillium" w:hAnsi="Titillium"/>
          <w:sz w:val="20"/>
          <w:szCs w:val="20"/>
        </w:rPr>
        <w:t xml:space="preserve"> tutti i dati identificati</w:t>
      </w:r>
      <w:r w:rsidR="005E5398" w:rsidRPr="00A70013">
        <w:rPr>
          <w:rFonts w:ascii="Titillium" w:hAnsi="Titillium"/>
          <w:sz w:val="20"/>
          <w:szCs w:val="20"/>
        </w:rPr>
        <w:t>vi</w:t>
      </w:r>
      <w:r w:rsidRPr="00A70013">
        <w:rPr>
          <w:rFonts w:ascii="Titillium" w:hAnsi="Titillium"/>
          <w:sz w:val="20"/>
          <w:szCs w:val="20"/>
        </w:rPr>
        <w:t xml:space="preserve">, in particolare: </w:t>
      </w:r>
    </w:p>
    <w:p w14:paraId="08C5EA97" w14:textId="77777777" w:rsidR="005E5398" w:rsidRPr="00A70013" w:rsidRDefault="00F00A05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la denominazione (campo libero)</w:t>
      </w:r>
      <w:r w:rsidR="005E5398" w:rsidRPr="00A70013">
        <w:rPr>
          <w:rFonts w:ascii="Titillium" w:hAnsi="Titillium"/>
          <w:sz w:val="20"/>
          <w:szCs w:val="20"/>
        </w:rPr>
        <w:t>;</w:t>
      </w:r>
    </w:p>
    <w:p w14:paraId="2BC546BF" w14:textId="77777777" w:rsidR="005E5398" w:rsidRPr="00A70013" w:rsidRDefault="00F00A05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il codice fiscale (o partita IVA) (campo libero);</w:t>
      </w:r>
    </w:p>
    <w:p w14:paraId="4A37E773" w14:textId="70DEA1D3" w:rsidR="005E5398" w:rsidRPr="00A70013" w:rsidRDefault="00F00A05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la tipologia di ente (</w:t>
      </w:r>
      <w:r w:rsidR="005E5398" w:rsidRPr="00A70013">
        <w:rPr>
          <w:rFonts w:ascii="Titillium" w:hAnsi="Titillium"/>
          <w:sz w:val="20"/>
          <w:szCs w:val="20"/>
        </w:rPr>
        <w:t xml:space="preserve">campo vincolato con opzioni visualizzabili </w:t>
      </w:r>
      <w:r w:rsidR="001430DC" w:rsidRPr="00A70013">
        <w:rPr>
          <w:rFonts w:ascii="Titillium" w:hAnsi="Titillium"/>
          <w:sz w:val="20"/>
          <w:szCs w:val="20"/>
        </w:rPr>
        <w:t>nell’elenco</w:t>
      </w:r>
      <w:r w:rsidR="005E5398" w:rsidRPr="00A70013">
        <w:rPr>
          <w:rFonts w:ascii="Titillium" w:hAnsi="Titillium"/>
          <w:sz w:val="20"/>
          <w:szCs w:val="20"/>
        </w:rPr>
        <w:t xml:space="preserve"> a discesa della cella</w:t>
      </w:r>
      <w:r w:rsidRPr="00A70013">
        <w:rPr>
          <w:rFonts w:ascii="Titillium" w:hAnsi="Titillium"/>
          <w:sz w:val="20"/>
          <w:szCs w:val="20"/>
        </w:rPr>
        <w:t>)</w:t>
      </w:r>
      <w:r w:rsidR="005E5398" w:rsidRPr="00A70013">
        <w:rPr>
          <w:rFonts w:ascii="Titillium" w:hAnsi="Titillium"/>
          <w:sz w:val="20"/>
          <w:szCs w:val="20"/>
        </w:rPr>
        <w:t>;</w:t>
      </w:r>
    </w:p>
    <w:p w14:paraId="5DB70D5A" w14:textId="77777777" w:rsidR="00F00A05" w:rsidRPr="00A70013" w:rsidRDefault="005E5398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link </w:t>
      </w:r>
      <w:r w:rsidRPr="00A70013">
        <w:rPr>
          <w:rFonts w:ascii="Titillium" w:hAnsi="Titillium"/>
          <w:sz w:val="20"/>
          <w:szCs w:val="20"/>
        </w:rPr>
        <w:t xml:space="preserve">del sito </w:t>
      </w:r>
      <w:r w:rsidRPr="00A70013">
        <w:rPr>
          <w:rFonts w:ascii="Titillium" w:hAnsi="Titillium"/>
          <w:i/>
          <w:sz w:val="20"/>
          <w:szCs w:val="20"/>
        </w:rPr>
        <w:t>web</w:t>
      </w:r>
      <w:r w:rsidRPr="00A70013">
        <w:rPr>
          <w:rFonts w:ascii="Titillium" w:hAnsi="Titillium"/>
          <w:sz w:val="20"/>
          <w:szCs w:val="20"/>
        </w:rPr>
        <w:t xml:space="preserve"> dell’amministrazione ove è stata pubblicata la griglia (campo libero);  </w:t>
      </w:r>
    </w:p>
    <w:p w14:paraId="52882916" w14:textId="77777777" w:rsidR="005E5398" w:rsidRPr="00A70013" w:rsidRDefault="005E5398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>comune, regione e CAP della sede legale;</w:t>
      </w:r>
    </w:p>
    <w:p w14:paraId="4C9D0057" w14:textId="3294E859" w:rsidR="005E5398" w:rsidRPr="00A70013" w:rsidRDefault="005E5398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soggetto che ha predisposto la griglia </w:t>
      </w:r>
      <w:r w:rsidRPr="00A70013">
        <w:rPr>
          <w:rFonts w:ascii="Titillium" w:hAnsi="Titillium"/>
          <w:sz w:val="20"/>
          <w:szCs w:val="20"/>
        </w:rPr>
        <w:t xml:space="preserve">(campo vincolato con opzioni visualizzabili </w:t>
      </w:r>
      <w:r w:rsidR="001430DC" w:rsidRPr="00A70013">
        <w:rPr>
          <w:rFonts w:ascii="Titillium" w:hAnsi="Titillium"/>
          <w:sz w:val="20"/>
          <w:szCs w:val="20"/>
        </w:rPr>
        <w:t>nell’elenco</w:t>
      </w:r>
      <w:r w:rsidRPr="00A70013">
        <w:rPr>
          <w:rFonts w:ascii="Titillium" w:hAnsi="Titillium"/>
          <w:sz w:val="20"/>
          <w:szCs w:val="20"/>
        </w:rPr>
        <w:t xml:space="preserve"> a discesa della cella)</w:t>
      </w:r>
      <w:r w:rsidR="00B92898" w:rsidRPr="00A70013">
        <w:rPr>
          <w:rFonts w:ascii="Titillium" w:hAnsi="Titillium"/>
          <w:sz w:val="20"/>
          <w:szCs w:val="20"/>
        </w:rPr>
        <w:t>.</w:t>
      </w:r>
    </w:p>
    <w:p w14:paraId="5D8A666B" w14:textId="77777777" w:rsidR="00F00A05" w:rsidRPr="00A70013" w:rsidRDefault="00F00A05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</w:p>
    <w:p w14:paraId="2187FD60" w14:textId="77777777" w:rsidR="00AC68EA" w:rsidRPr="00A70013" w:rsidRDefault="00AC68EA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Per attivare le opzioni di scelta, laddove presenti, sarà sufficiente posizionarsi all’interno della cella e selezionare il triangolino in basso a destra. </w:t>
      </w:r>
    </w:p>
    <w:p w14:paraId="791011EE" w14:textId="77777777" w:rsidR="00AC68EA" w:rsidRPr="00A70013" w:rsidRDefault="00AC68EA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</w:p>
    <w:p w14:paraId="788CD14B" w14:textId="77777777" w:rsidR="00F00A05" w:rsidRPr="00A70013" w:rsidRDefault="00F00A05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Contenuti </w:t>
      </w:r>
    </w:p>
    <w:p w14:paraId="4D461192" w14:textId="77777777" w:rsidR="00E82873" w:rsidRPr="00A70013" w:rsidRDefault="00EB3F0E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La rilevazione ha a</w:t>
      </w:r>
      <w:r w:rsidR="00944BAE" w:rsidRPr="00A70013">
        <w:rPr>
          <w:rFonts w:ascii="Titillium" w:hAnsi="Titillium"/>
          <w:sz w:val="20"/>
          <w:szCs w:val="20"/>
        </w:rPr>
        <w:t>d</w:t>
      </w:r>
      <w:r w:rsidR="00320D93" w:rsidRPr="00A70013">
        <w:rPr>
          <w:rFonts w:ascii="Titillium" w:hAnsi="Titillium"/>
          <w:sz w:val="20"/>
          <w:szCs w:val="20"/>
        </w:rPr>
        <w:t xml:space="preserve"> oggetto lo stato di pubbli</w:t>
      </w:r>
      <w:r w:rsidR="00790644" w:rsidRPr="00A70013">
        <w:rPr>
          <w:rFonts w:ascii="Titillium" w:hAnsi="Titillium"/>
          <w:sz w:val="20"/>
          <w:szCs w:val="20"/>
        </w:rPr>
        <w:t>cazione dei dati nella sezione «</w:t>
      </w:r>
      <w:r w:rsidR="00320D93" w:rsidRPr="00A70013">
        <w:rPr>
          <w:rFonts w:ascii="Titillium" w:hAnsi="Titillium"/>
          <w:i/>
          <w:sz w:val="20"/>
          <w:szCs w:val="20"/>
        </w:rPr>
        <w:t>Amminis</w:t>
      </w:r>
      <w:r w:rsidR="00F6314D" w:rsidRPr="00A70013">
        <w:rPr>
          <w:rFonts w:ascii="Titillium" w:hAnsi="Titillium"/>
          <w:i/>
          <w:sz w:val="20"/>
          <w:szCs w:val="20"/>
        </w:rPr>
        <w:t>trazione trasparente</w:t>
      </w:r>
      <w:r w:rsidR="00790644" w:rsidRPr="00A70013">
        <w:rPr>
          <w:rFonts w:ascii="Titillium" w:hAnsi="Titillium"/>
          <w:sz w:val="20"/>
          <w:szCs w:val="20"/>
        </w:rPr>
        <w:t>»</w:t>
      </w:r>
      <w:r w:rsidR="00F6314D" w:rsidRPr="00A70013">
        <w:rPr>
          <w:rFonts w:ascii="Titillium" w:hAnsi="Titillium"/>
          <w:sz w:val="20"/>
          <w:szCs w:val="20"/>
        </w:rPr>
        <w:t xml:space="preserve"> </w:t>
      </w:r>
      <w:r w:rsidR="00944BAE" w:rsidRPr="00A70013">
        <w:rPr>
          <w:rFonts w:ascii="Titillium" w:hAnsi="Titillium"/>
          <w:sz w:val="20"/>
          <w:szCs w:val="20"/>
        </w:rPr>
        <w:t xml:space="preserve">o </w:t>
      </w:r>
      <w:r w:rsidR="00953F8B" w:rsidRPr="00A70013">
        <w:rPr>
          <w:rFonts w:ascii="Titillium" w:hAnsi="Titillium"/>
          <w:i/>
          <w:sz w:val="20"/>
          <w:szCs w:val="20"/>
        </w:rPr>
        <w:t>«Società trasparente»</w:t>
      </w:r>
      <w:r w:rsidR="00953F8B" w:rsidRPr="00A70013">
        <w:rPr>
          <w:rFonts w:ascii="Titillium" w:hAnsi="Titillium"/>
          <w:sz w:val="20"/>
          <w:szCs w:val="20"/>
        </w:rPr>
        <w:t xml:space="preserve"> </w:t>
      </w:r>
      <w:r w:rsidR="00F6314D" w:rsidRPr="00A70013">
        <w:rPr>
          <w:rFonts w:ascii="Titillium" w:hAnsi="Titillium"/>
          <w:sz w:val="20"/>
          <w:szCs w:val="20"/>
        </w:rPr>
        <w:t xml:space="preserve">al 31 </w:t>
      </w:r>
      <w:r w:rsidR="00C91468" w:rsidRPr="00A70013">
        <w:rPr>
          <w:rFonts w:ascii="Titillium" w:hAnsi="Titillium"/>
          <w:sz w:val="20"/>
          <w:szCs w:val="20"/>
        </w:rPr>
        <w:t>maggio</w:t>
      </w:r>
      <w:r w:rsidR="00F6314D" w:rsidRPr="00A70013">
        <w:rPr>
          <w:rFonts w:ascii="Titillium" w:hAnsi="Titillium"/>
          <w:sz w:val="20"/>
          <w:szCs w:val="20"/>
        </w:rPr>
        <w:t xml:space="preserve"> </w:t>
      </w:r>
      <w:r w:rsidR="00320D93" w:rsidRPr="00A70013">
        <w:rPr>
          <w:rFonts w:ascii="Titillium" w:hAnsi="Titillium"/>
          <w:sz w:val="20"/>
          <w:szCs w:val="20"/>
        </w:rPr>
        <w:t>20</w:t>
      </w:r>
      <w:r w:rsidR="00856E0D" w:rsidRPr="00A70013">
        <w:rPr>
          <w:rFonts w:ascii="Titillium" w:hAnsi="Titillium"/>
          <w:sz w:val="20"/>
          <w:szCs w:val="20"/>
        </w:rPr>
        <w:t>2</w:t>
      </w:r>
      <w:r w:rsidR="00C91468" w:rsidRPr="00A70013">
        <w:rPr>
          <w:rFonts w:ascii="Titillium" w:hAnsi="Titillium"/>
          <w:sz w:val="20"/>
          <w:szCs w:val="20"/>
        </w:rPr>
        <w:t>1</w:t>
      </w:r>
      <w:r w:rsidR="00C837D4" w:rsidRPr="00A70013">
        <w:rPr>
          <w:rFonts w:ascii="Titillium" w:hAnsi="Titillium"/>
          <w:sz w:val="20"/>
          <w:szCs w:val="20"/>
        </w:rPr>
        <w:t>. N</w:t>
      </w:r>
      <w:r w:rsidR="00320D93" w:rsidRPr="00A70013">
        <w:rPr>
          <w:rFonts w:ascii="Titillium" w:hAnsi="Titillium"/>
          <w:sz w:val="20"/>
          <w:szCs w:val="20"/>
        </w:rPr>
        <w:t>ella Griglia di rilevazione sono</w:t>
      </w:r>
      <w:r w:rsidR="00C91468" w:rsidRPr="00A70013">
        <w:rPr>
          <w:rFonts w:ascii="Titillium" w:hAnsi="Titillium"/>
          <w:sz w:val="20"/>
          <w:szCs w:val="20"/>
        </w:rPr>
        <w:t xml:space="preserve"> quindi</w:t>
      </w:r>
      <w:r w:rsidR="00320D93" w:rsidRPr="00A70013">
        <w:rPr>
          <w:rFonts w:ascii="Titillium" w:hAnsi="Titillium"/>
          <w:sz w:val="20"/>
          <w:szCs w:val="20"/>
        </w:rPr>
        <w:t xml:space="preserve"> inseriti i </w:t>
      </w:r>
      <w:r w:rsidR="00E82873" w:rsidRPr="00A70013">
        <w:rPr>
          <w:rFonts w:ascii="Titillium" w:hAnsi="Titillium"/>
          <w:sz w:val="20"/>
          <w:szCs w:val="20"/>
        </w:rPr>
        <w:t>risultati della rilevazione effettuata dagli OIV, o d</w:t>
      </w:r>
      <w:r w:rsidR="00C837D4" w:rsidRPr="00A70013">
        <w:rPr>
          <w:rFonts w:ascii="Titillium" w:hAnsi="Titillium"/>
          <w:sz w:val="20"/>
          <w:szCs w:val="20"/>
        </w:rPr>
        <w:t xml:space="preserve">agli altri organismi </w:t>
      </w:r>
      <w:r w:rsidR="00E82873" w:rsidRPr="00A70013">
        <w:rPr>
          <w:rFonts w:ascii="Titillium" w:hAnsi="Titillium"/>
          <w:sz w:val="20"/>
          <w:szCs w:val="20"/>
        </w:rPr>
        <w:t xml:space="preserve">con funzioni analoghe, al 31 </w:t>
      </w:r>
      <w:r w:rsidR="00C91468" w:rsidRPr="00A70013">
        <w:rPr>
          <w:rFonts w:ascii="Titillium" w:hAnsi="Titillium"/>
          <w:sz w:val="20"/>
          <w:szCs w:val="20"/>
        </w:rPr>
        <w:t>maggio</w:t>
      </w:r>
      <w:r w:rsidR="00856E0D" w:rsidRPr="00A70013">
        <w:rPr>
          <w:rFonts w:ascii="Titillium" w:hAnsi="Titillium"/>
          <w:sz w:val="20"/>
          <w:szCs w:val="20"/>
        </w:rPr>
        <w:t xml:space="preserve"> 202</w:t>
      </w:r>
      <w:r w:rsidR="00C91468" w:rsidRPr="00A70013">
        <w:rPr>
          <w:rFonts w:ascii="Titillium" w:hAnsi="Titillium"/>
          <w:sz w:val="20"/>
          <w:szCs w:val="20"/>
        </w:rPr>
        <w:t>1</w:t>
      </w:r>
      <w:r w:rsidR="00E82873" w:rsidRPr="00A70013">
        <w:rPr>
          <w:rFonts w:ascii="Titillium" w:hAnsi="Titillium"/>
          <w:sz w:val="20"/>
          <w:szCs w:val="20"/>
        </w:rPr>
        <w:t>.</w:t>
      </w:r>
    </w:p>
    <w:p w14:paraId="1C989A83" w14:textId="3C88AD86" w:rsidR="00BD4F88" w:rsidRPr="00A70013" w:rsidRDefault="00F556DE" w:rsidP="00A70013">
      <w:pPr>
        <w:spacing w:before="240"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lastRenderedPageBreak/>
        <w:t>So</w:t>
      </w:r>
      <w:r w:rsidR="00BD4F88" w:rsidRPr="00A70013">
        <w:rPr>
          <w:rFonts w:ascii="Titillium" w:hAnsi="Titillium"/>
          <w:sz w:val="20"/>
          <w:szCs w:val="20"/>
        </w:rPr>
        <w:t>lo per le amministrazioni pubbliche di cui al § 1.1 sono</w:t>
      </w:r>
      <w:r w:rsidRPr="00A70013">
        <w:rPr>
          <w:rFonts w:ascii="Titillium" w:hAnsi="Titillium"/>
          <w:sz w:val="20"/>
          <w:szCs w:val="20"/>
        </w:rPr>
        <w:t xml:space="preserve"> state predisposte due </w:t>
      </w:r>
      <w:r w:rsidR="00A65E5F" w:rsidRPr="00A70013">
        <w:rPr>
          <w:rFonts w:ascii="Titillium" w:hAnsi="Titillium"/>
          <w:sz w:val="20"/>
          <w:szCs w:val="20"/>
        </w:rPr>
        <w:t>Grigli</w:t>
      </w:r>
      <w:r w:rsidRPr="00A70013">
        <w:rPr>
          <w:rFonts w:ascii="Titillium" w:hAnsi="Titillium"/>
          <w:sz w:val="20"/>
          <w:szCs w:val="20"/>
        </w:rPr>
        <w:t>e</w:t>
      </w:r>
      <w:r w:rsidR="00A65E5F" w:rsidRPr="00A70013">
        <w:rPr>
          <w:rFonts w:ascii="Titillium" w:hAnsi="Titillium"/>
          <w:sz w:val="20"/>
          <w:szCs w:val="20"/>
        </w:rPr>
        <w:t xml:space="preserve"> di rilevazione</w:t>
      </w:r>
      <w:r w:rsidRPr="00A70013">
        <w:rPr>
          <w:rFonts w:ascii="Titillium" w:hAnsi="Titillium"/>
          <w:sz w:val="20"/>
          <w:szCs w:val="20"/>
        </w:rPr>
        <w:t>,</w:t>
      </w:r>
      <w:r w:rsidR="00AC68EA" w:rsidRPr="00A70013">
        <w:rPr>
          <w:rFonts w:ascii="Titillium" w:hAnsi="Titillium"/>
          <w:sz w:val="20"/>
          <w:szCs w:val="20"/>
        </w:rPr>
        <w:t xml:space="preserve"> A e B. </w:t>
      </w:r>
      <w:r w:rsidR="00BD4F88" w:rsidRPr="00A70013">
        <w:rPr>
          <w:rFonts w:ascii="Titillium" w:hAnsi="Titillium"/>
          <w:sz w:val="20"/>
          <w:szCs w:val="20"/>
        </w:rPr>
        <w:t>In tal caso, si fa presente che tutt</w:t>
      </w:r>
      <w:r w:rsidRPr="00A70013">
        <w:rPr>
          <w:rFonts w:ascii="Titillium" w:hAnsi="Titillium"/>
          <w:sz w:val="20"/>
          <w:szCs w:val="20"/>
        </w:rPr>
        <w:t>i g</w:t>
      </w:r>
      <w:r w:rsidR="00A65E5F" w:rsidRPr="00A70013">
        <w:rPr>
          <w:rFonts w:ascii="Titillium" w:hAnsi="Titillium"/>
          <w:sz w:val="20"/>
          <w:szCs w:val="20"/>
        </w:rPr>
        <w:t xml:space="preserve">li OIV, o </w:t>
      </w:r>
      <w:r w:rsidR="00965B9C" w:rsidRPr="00A70013">
        <w:rPr>
          <w:rFonts w:ascii="Titillium" w:hAnsi="Titillium"/>
          <w:sz w:val="20"/>
          <w:szCs w:val="20"/>
        </w:rPr>
        <w:t xml:space="preserve">gli </w:t>
      </w:r>
      <w:r w:rsidR="00C837D4" w:rsidRPr="00A70013">
        <w:rPr>
          <w:rFonts w:ascii="Titillium" w:hAnsi="Titillium"/>
          <w:sz w:val="20"/>
          <w:szCs w:val="20"/>
        </w:rPr>
        <w:t>altri organismi con funzioni analoghe</w:t>
      </w:r>
      <w:r w:rsidR="00A65E5F" w:rsidRPr="00A70013">
        <w:rPr>
          <w:rFonts w:ascii="Titillium" w:hAnsi="Titillium"/>
          <w:sz w:val="20"/>
          <w:szCs w:val="20"/>
        </w:rPr>
        <w:t xml:space="preserve">, sono tenuti a compilare </w:t>
      </w:r>
      <w:r w:rsidR="00C702CE" w:rsidRPr="00A70013">
        <w:rPr>
          <w:rFonts w:ascii="Titillium" w:hAnsi="Titillium"/>
          <w:sz w:val="20"/>
          <w:szCs w:val="20"/>
        </w:rPr>
        <w:t>la griglia di rilevazione A</w:t>
      </w:r>
      <w:r w:rsidR="00CA1606" w:rsidRPr="00A70013">
        <w:rPr>
          <w:rFonts w:ascii="Titillium" w:hAnsi="Titillium"/>
          <w:sz w:val="20"/>
          <w:szCs w:val="20"/>
        </w:rPr>
        <w:t>,</w:t>
      </w:r>
      <w:r w:rsidR="00BD4F88" w:rsidRPr="00A70013">
        <w:rPr>
          <w:rFonts w:ascii="Titillium" w:hAnsi="Titillium"/>
          <w:sz w:val="20"/>
          <w:szCs w:val="20"/>
        </w:rPr>
        <w:t xml:space="preserve"> mentre l</w:t>
      </w:r>
      <w:r w:rsidR="00C702CE" w:rsidRPr="00A70013">
        <w:rPr>
          <w:rFonts w:ascii="Titillium" w:hAnsi="Titillium"/>
          <w:sz w:val="20"/>
          <w:szCs w:val="20"/>
        </w:rPr>
        <w:t>a griglia di rilevazione B deve essere</w:t>
      </w:r>
      <w:r w:rsidR="00A65E5F" w:rsidRPr="00A70013">
        <w:rPr>
          <w:rFonts w:ascii="Titillium" w:hAnsi="Titillium"/>
          <w:sz w:val="20"/>
          <w:szCs w:val="20"/>
        </w:rPr>
        <w:t xml:space="preserve"> </w:t>
      </w:r>
      <w:r w:rsidR="00C702CE" w:rsidRPr="00A70013">
        <w:rPr>
          <w:rFonts w:ascii="Titillium" w:hAnsi="Titillium"/>
          <w:sz w:val="20"/>
          <w:szCs w:val="20"/>
        </w:rPr>
        <w:t xml:space="preserve">compilata </w:t>
      </w:r>
      <w:r w:rsidR="00A65E5F" w:rsidRPr="00A70013">
        <w:rPr>
          <w:rFonts w:ascii="Titillium" w:hAnsi="Titillium"/>
          <w:b/>
          <w:sz w:val="20"/>
          <w:szCs w:val="20"/>
        </w:rPr>
        <w:t>solamente</w:t>
      </w:r>
      <w:r w:rsidR="00A65E5F" w:rsidRPr="00A70013">
        <w:rPr>
          <w:rFonts w:ascii="Titillium" w:hAnsi="Titillium"/>
          <w:sz w:val="20"/>
          <w:szCs w:val="20"/>
        </w:rPr>
        <w:t xml:space="preserve"> dagli OIV, o </w:t>
      </w:r>
      <w:r w:rsidR="00C837D4" w:rsidRPr="00A70013">
        <w:rPr>
          <w:rFonts w:ascii="Titillium" w:hAnsi="Titillium"/>
          <w:sz w:val="20"/>
          <w:szCs w:val="20"/>
        </w:rPr>
        <w:t>dagli altri organismi con funzioni analoghe</w:t>
      </w:r>
      <w:r w:rsidR="00A65E5F" w:rsidRPr="00A70013">
        <w:rPr>
          <w:rFonts w:ascii="Titillium" w:hAnsi="Titillium"/>
          <w:sz w:val="20"/>
          <w:szCs w:val="20"/>
        </w:rPr>
        <w:t xml:space="preserve">, </w:t>
      </w:r>
      <w:r w:rsidR="00DE55CC" w:rsidRPr="00A70013">
        <w:rPr>
          <w:rFonts w:ascii="Titillium" w:hAnsi="Titillium"/>
          <w:sz w:val="20"/>
          <w:szCs w:val="20"/>
        </w:rPr>
        <w:t>dei Ministeri e degli Enti pubblici nazionali con uffici periferici.</w:t>
      </w:r>
      <w:r w:rsidR="00BD4F88" w:rsidRPr="00A70013">
        <w:rPr>
          <w:rFonts w:ascii="Titillium" w:hAnsi="Titillium"/>
          <w:sz w:val="20"/>
          <w:szCs w:val="20"/>
        </w:rPr>
        <w:t xml:space="preserve"> </w:t>
      </w:r>
    </w:p>
    <w:p w14:paraId="2C463D48" w14:textId="77777777" w:rsidR="00C35396" w:rsidRPr="00A70013" w:rsidRDefault="00C35396" w:rsidP="00A7001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Per ogni </w:t>
      </w:r>
      <w:r w:rsidR="001061AF" w:rsidRPr="00A70013">
        <w:rPr>
          <w:rFonts w:ascii="Titillium" w:hAnsi="Titillium"/>
          <w:sz w:val="20"/>
          <w:szCs w:val="20"/>
        </w:rPr>
        <w:t>dato</w:t>
      </w:r>
      <w:r w:rsidRPr="00A70013">
        <w:rPr>
          <w:rFonts w:ascii="Titillium" w:hAnsi="Titillium"/>
          <w:sz w:val="20"/>
          <w:szCs w:val="20"/>
        </w:rPr>
        <w:t xml:space="preserve"> inserito nella Griglia di rilevazione deve essere verificata l’avvenuta pubblicazione dei dati e delle informazioni previst</w:t>
      </w:r>
      <w:r w:rsidR="00EB3F0E" w:rsidRPr="00A70013">
        <w:rPr>
          <w:rFonts w:ascii="Titillium" w:hAnsi="Titillium"/>
          <w:sz w:val="20"/>
          <w:szCs w:val="20"/>
        </w:rPr>
        <w:t>a</w:t>
      </w:r>
      <w:r w:rsidRPr="00A70013">
        <w:rPr>
          <w:rFonts w:ascii="Titillium" w:hAnsi="Titillium"/>
          <w:sz w:val="20"/>
          <w:szCs w:val="20"/>
        </w:rPr>
        <w:t xml:space="preserve"> </w:t>
      </w:r>
      <w:r w:rsidR="00556F08" w:rsidRPr="00A70013">
        <w:rPr>
          <w:rFonts w:ascii="Titillium" w:hAnsi="Titillium"/>
          <w:sz w:val="20"/>
          <w:szCs w:val="20"/>
        </w:rPr>
        <w:t>dalla normativa</w:t>
      </w:r>
      <w:r w:rsidRPr="00A70013">
        <w:rPr>
          <w:rFonts w:ascii="Titillium" w:hAnsi="Titillium"/>
          <w:sz w:val="20"/>
          <w:szCs w:val="20"/>
        </w:rPr>
        <w:t>, con l’indicazione di un valore compreso</w:t>
      </w:r>
      <w:r w:rsidR="00A65E5F" w:rsidRPr="00A70013">
        <w:rPr>
          <w:rFonts w:ascii="Titillium" w:hAnsi="Titillium"/>
          <w:sz w:val="20"/>
          <w:szCs w:val="20"/>
        </w:rPr>
        <w:t>, a seconda dei casi, fra 0 e 2 oppure</w:t>
      </w:r>
      <w:r w:rsidRPr="00A70013">
        <w:rPr>
          <w:rFonts w:ascii="Titillium" w:hAnsi="Titillium"/>
          <w:sz w:val="20"/>
          <w:szCs w:val="20"/>
        </w:rPr>
        <w:t xml:space="preserve"> fra 0 e 3, che fornisce </w:t>
      </w:r>
      <w:r w:rsidR="00556F08" w:rsidRPr="00A70013">
        <w:rPr>
          <w:rFonts w:ascii="Titillium" w:hAnsi="Titillium"/>
          <w:sz w:val="20"/>
          <w:szCs w:val="20"/>
        </w:rPr>
        <w:t>la misura</w:t>
      </w:r>
      <w:r w:rsidRPr="00A70013">
        <w:rPr>
          <w:rFonts w:ascii="Titillium" w:hAnsi="Titillium"/>
          <w:sz w:val="20"/>
          <w:szCs w:val="20"/>
        </w:rPr>
        <w:t xml:space="preserve"> del grado di adempiment</w:t>
      </w:r>
      <w:r w:rsidR="00EB3F0E" w:rsidRPr="00A70013">
        <w:rPr>
          <w:rFonts w:ascii="Titillium" w:hAnsi="Titillium"/>
          <w:sz w:val="20"/>
          <w:szCs w:val="20"/>
        </w:rPr>
        <w:t>o da parte dell’amministrazione/ente</w:t>
      </w:r>
      <w:r w:rsidR="00DE549C" w:rsidRPr="00A70013">
        <w:rPr>
          <w:rFonts w:ascii="Titillium" w:hAnsi="Titillium"/>
          <w:sz w:val="20"/>
          <w:szCs w:val="20"/>
        </w:rPr>
        <w:t>/società</w:t>
      </w:r>
      <w:r w:rsidRPr="00A70013">
        <w:rPr>
          <w:rFonts w:ascii="Titillium" w:hAnsi="Titillium"/>
          <w:sz w:val="20"/>
          <w:szCs w:val="20"/>
        </w:rPr>
        <w:t>, come di seguito specificato.</w:t>
      </w:r>
    </w:p>
    <w:p w14:paraId="1DA9C7E7" w14:textId="77777777" w:rsidR="00C35396" w:rsidRPr="00A70013" w:rsidRDefault="00C65EF0" w:rsidP="00A70013">
      <w:pPr>
        <w:spacing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Qualora uno o più obblighi oggetto di </w:t>
      </w:r>
      <w:r w:rsidR="00396269" w:rsidRPr="00A70013">
        <w:rPr>
          <w:rFonts w:ascii="Titillium" w:hAnsi="Titillium"/>
          <w:sz w:val="20"/>
          <w:szCs w:val="20"/>
        </w:rPr>
        <w:t>verifica non siano applicabili</w:t>
      </w:r>
      <w:r w:rsidRPr="00A70013">
        <w:rPr>
          <w:rFonts w:ascii="Titillium" w:hAnsi="Titillium"/>
          <w:sz w:val="20"/>
          <w:szCs w:val="20"/>
        </w:rPr>
        <w:t>, gli OIV, o le strutture analoghe, inseriscono il valore “</w:t>
      </w:r>
      <w:r w:rsidRPr="00A70013">
        <w:rPr>
          <w:rFonts w:ascii="Titillium" w:hAnsi="Titillium"/>
          <w:sz w:val="20"/>
          <w:szCs w:val="20"/>
          <w:u w:val="single"/>
        </w:rPr>
        <w:t>n/a</w:t>
      </w:r>
      <w:r w:rsidRPr="00A70013">
        <w:rPr>
          <w:rFonts w:ascii="Titillium" w:hAnsi="Titillium"/>
          <w:sz w:val="20"/>
          <w:szCs w:val="20"/>
        </w:rPr>
        <w:t xml:space="preserve">”. </w:t>
      </w:r>
    </w:p>
    <w:p w14:paraId="1F0BA387" w14:textId="37E4EE95" w:rsidR="00C65EF0" w:rsidRPr="00A70013" w:rsidRDefault="00AC68EA" w:rsidP="00A70013">
      <w:pPr>
        <w:spacing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I valori a disposizione, indicati nelle opzioni di scelta proposti con </w:t>
      </w:r>
      <w:r w:rsidR="001430DC" w:rsidRPr="00A70013">
        <w:rPr>
          <w:rFonts w:ascii="Titillium" w:hAnsi="Titillium"/>
          <w:sz w:val="20"/>
          <w:szCs w:val="20"/>
        </w:rPr>
        <w:t xml:space="preserve">elenco a </w:t>
      </w:r>
      <w:r w:rsidR="00BD4F88" w:rsidRPr="00A70013">
        <w:rPr>
          <w:rFonts w:ascii="Titillium" w:hAnsi="Titillium"/>
          <w:sz w:val="20"/>
          <w:szCs w:val="20"/>
        </w:rPr>
        <w:t>discesa</w:t>
      </w:r>
      <w:r w:rsidR="001430DC" w:rsidRPr="00A70013">
        <w:rPr>
          <w:rFonts w:ascii="Titillium" w:hAnsi="Titillium"/>
          <w:sz w:val="20"/>
          <w:szCs w:val="20"/>
        </w:rPr>
        <w:t xml:space="preserve"> in</w:t>
      </w:r>
      <w:r w:rsidRPr="00A70013">
        <w:rPr>
          <w:rFonts w:ascii="Titillium" w:hAnsi="Titillium"/>
          <w:sz w:val="20"/>
          <w:szCs w:val="20"/>
        </w:rPr>
        <w:t xml:space="preserve"> ogni cella, sono visualizzabili digitando il triangolino in basso a destra che appare non appena selezionata l</w:t>
      </w:r>
      <w:r w:rsidR="00BD4F88" w:rsidRPr="00A70013">
        <w:rPr>
          <w:rFonts w:ascii="Titillium" w:hAnsi="Titillium"/>
          <w:sz w:val="20"/>
          <w:szCs w:val="20"/>
        </w:rPr>
        <w:t>a</w:t>
      </w:r>
      <w:r w:rsidRPr="00A70013">
        <w:rPr>
          <w:rFonts w:ascii="Titillium" w:hAnsi="Titillium"/>
          <w:sz w:val="20"/>
          <w:szCs w:val="20"/>
        </w:rPr>
        <w:t xml:space="preserve"> cella. </w:t>
      </w:r>
      <w:r w:rsidR="00C65EF0" w:rsidRPr="00A70013">
        <w:rPr>
          <w:rFonts w:ascii="Titillium" w:hAnsi="Titillium"/>
          <w:sz w:val="20"/>
          <w:szCs w:val="20"/>
          <w:u w:val="single"/>
        </w:rPr>
        <w:t>Non sono ammessi campi vuoti</w:t>
      </w:r>
      <w:r w:rsidR="00C65EF0" w:rsidRPr="00A70013">
        <w:rPr>
          <w:rFonts w:ascii="Titillium" w:hAnsi="Titillium"/>
          <w:sz w:val="20"/>
          <w:szCs w:val="20"/>
        </w:rPr>
        <w:t xml:space="preserve">, ossia privi di uno dei suddetti valori. </w:t>
      </w:r>
    </w:p>
    <w:p w14:paraId="1C8D26CC" w14:textId="77777777" w:rsidR="00AC68EA" w:rsidRPr="00A70013" w:rsidRDefault="00AC68EA" w:rsidP="00A70013">
      <w:pPr>
        <w:spacing w:line="276" w:lineRule="auto"/>
        <w:rPr>
          <w:rFonts w:ascii="Titillium" w:hAnsi="Titillium"/>
          <w:strike/>
          <w:sz w:val="20"/>
          <w:szCs w:val="20"/>
        </w:rPr>
      </w:pPr>
    </w:p>
    <w:p w14:paraId="6E160ECA" w14:textId="6E6358E2" w:rsidR="00CF5192" w:rsidRPr="00A70013" w:rsidRDefault="00BD4F88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Griglia di rilevazione </w:t>
      </w:r>
      <w:r w:rsidR="00CF5192"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– Pubblicazione e </w:t>
      </w:r>
      <w:r w:rsidR="005606D2" w:rsidRPr="00A70013">
        <w:rPr>
          <w:rFonts w:ascii="Titillium" w:hAnsi="Titillium" w:cs="Times New Roman"/>
          <w:b/>
          <w:sz w:val="20"/>
          <w:szCs w:val="20"/>
          <w:u w:val="single"/>
        </w:rPr>
        <w:t>qualità dati</w:t>
      </w:r>
    </w:p>
    <w:p w14:paraId="5F423B70" w14:textId="77777777" w:rsidR="00CF5192" w:rsidRPr="00A70013" w:rsidRDefault="00CF5192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0AEF32CC" w14:textId="77777777" w:rsidR="008833F8" w:rsidRPr="00A70013" w:rsidRDefault="00B556E4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PUBBLICAZIONE</w:t>
      </w:r>
    </w:p>
    <w:p w14:paraId="157C804C" w14:textId="63EB3873" w:rsidR="00C35396" w:rsidRPr="00A70013" w:rsidRDefault="00C35396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dato è pubblicato nella sezione “</w:t>
      </w:r>
      <w:r w:rsidRPr="00A70013">
        <w:rPr>
          <w:rFonts w:ascii="Titillium" w:hAnsi="Titillium"/>
          <w:b/>
          <w:i/>
          <w:sz w:val="20"/>
          <w:szCs w:val="20"/>
        </w:rPr>
        <w:t>Amministrazione trasparente”</w:t>
      </w:r>
      <w:r w:rsidR="00900DA4" w:rsidRPr="00A70013">
        <w:rPr>
          <w:rFonts w:ascii="Titillium" w:hAnsi="Titillium"/>
          <w:b/>
          <w:i/>
          <w:sz w:val="20"/>
          <w:szCs w:val="20"/>
        </w:rPr>
        <w:t xml:space="preserve"> </w:t>
      </w:r>
      <w:r w:rsidR="00BD4F88" w:rsidRPr="00A70013">
        <w:rPr>
          <w:rFonts w:ascii="Titillium" w:hAnsi="Titillium"/>
          <w:b/>
          <w:i/>
          <w:sz w:val="20"/>
          <w:szCs w:val="20"/>
        </w:rPr>
        <w:t>o” Società</w:t>
      </w:r>
      <w:r w:rsidR="00DE55CC" w:rsidRPr="00A70013">
        <w:rPr>
          <w:rFonts w:ascii="Titillium" w:hAnsi="Titillium"/>
          <w:b/>
          <w:i/>
          <w:sz w:val="20"/>
          <w:szCs w:val="20"/>
        </w:rPr>
        <w:t xml:space="preserve"> trasparente</w:t>
      </w:r>
      <w:r w:rsidR="00DE55CC" w:rsidRPr="00A70013">
        <w:rPr>
          <w:rFonts w:ascii="Titillium" w:hAnsi="Titillium"/>
          <w:b/>
          <w:sz w:val="20"/>
          <w:szCs w:val="20"/>
        </w:rPr>
        <w:t>”</w:t>
      </w:r>
      <w:r w:rsidRPr="00A70013">
        <w:rPr>
          <w:rFonts w:ascii="Titillium" w:hAnsi="Titillium"/>
          <w:b/>
          <w:sz w:val="20"/>
          <w:szCs w:val="20"/>
        </w:rPr>
        <w:t xml:space="preserve"> del sito istituzionale?</w:t>
      </w:r>
    </w:p>
    <w:p w14:paraId="6452A253" w14:textId="77777777" w:rsidR="00C35396" w:rsidRPr="00A70013" w:rsidRDefault="00C35396" w:rsidP="00A70013">
      <w:pPr>
        <w:pStyle w:val="Paragrafoelenco"/>
        <w:tabs>
          <w:tab w:val="left" w:pos="-142"/>
        </w:tabs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Attribuzione di una scala di valori compresi fra </w:t>
      </w:r>
      <w:r w:rsidR="00FC09C4" w:rsidRPr="00A70013">
        <w:rPr>
          <w:rFonts w:ascii="Titillium" w:hAnsi="Titillium"/>
          <w:sz w:val="20"/>
          <w:szCs w:val="20"/>
        </w:rPr>
        <w:t>0</w:t>
      </w:r>
      <w:r w:rsidRPr="00A70013">
        <w:rPr>
          <w:rFonts w:ascii="Titillium" w:hAnsi="Titillium"/>
          <w:sz w:val="20"/>
          <w:szCs w:val="20"/>
        </w:rPr>
        <w:t xml:space="preserve"> e </w:t>
      </w:r>
      <w:r w:rsidR="00FC09C4" w:rsidRPr="00A70013">
        <w:rPr>
          <w:rFonts w:ascii="Titillium" w:hAnsi="Titillium"/>
          <w:sz w:val="20"/>
          <w:szCs w:val="20"/>
        </w:rPr>
        <w:t>2</w:t>
      </w:r>
      <w:r w:rsidRPr="00A70013">
        <w:rPr>
          <w:rFonts w:ascii="Titillium" w:hAnsi="Titillium"/>
          <w:sz w:val="20"/>
          <w:szCs w:val="20"/>
        </w:rPr>
        <w:t>:</w:t>
      </w:r>
    </w:p>
    <w:p w14:paraId="512A2544" w14:textId="77777777" w:rsidR="00C35396" w:rsidRPr="00A70013" w:rsidRDefault="00C35396" w:rsidP="00A70013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20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</w:t>
      </w:r>
      <w:r w:rsidR="00FC09C4" w:rsidRPr="00A70013">
        <w:rPr>
          <w:rFonts w:ascii="Titillium" w:hAnsi="Titillium"/>
          <w:sz w:val="20"/>
          <w:szCs w:val="20"/>
        </w:rPr>
        <w:t xml:space="preserve">il dato </w:t>
      </w:r>
      <w:r w:rsidRPr="00A70013">
        <w:rPr>
          <w:rFonts w:ascii="Titillium" w:hAnsi="Titillium"/>
          <w:sz w:val="20"/>
          <w:szCs w:val="20"/>
        </w:rPr>
        <w:t>non risulta pubblicato;</w:t>
      </w:r>
    </w:p>
    <w:p w14:paraId="58E476BF" w14:textId="77777777" w:rsidR="00C35396" w:rsidRPr="00A70013" w:rsidRDefault="00CE29E8" w:rsidP="00A70013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200" w:line="276" w:lineRule="auto"/>
        <w:ind w:left="709" w:hanging="425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</w:t>
      </w:r>
      <w:r w:rsidR="00FC09C4" w:rsidRPr="00A70013">
        <w:rPr>
          <w:rFonts w:ascii="Titillium" w:hAnsi="Titillium"/>
          <w:sz w:val="20"/>
          <w:szCs w:val="20"/>
        </w:rPr>
        <w:t xml:space="preserve">l dato </w:t>
      </w:r>
      <w:r w:rsidR="00C35396" w:rsidRPr="00A70013">
        <w:rPr>
          <w:rFonts w:ascii="Titillium" w:hAnsi="Titillium"/>
          <w:sz w:val="20"/>
          <w:szCs w:val="20"/>
        </w:rPr>
        <w:t xml:space="preserve">risulta pubblicato in una sezione diversa da quella denominata </w:t>
      </w:r>
      <w:r w:rsidR="00790644" w:rsidRPr="00A70013">
        <w:rPr>
          <w:rFonts w:ascii="Titillium" w:hAnsi="Titillium"/>
          <w:sz w:val="20"/>
          <w:szCs w:val="20"/>
        </w:rPr>
        <w:t>«</w:t>
      </w:r>
      <w:r w:rsidR="00790644" w:rsidRPr="00A70013">
        <w:rPr>
          <w:rFonts w:ascii="Titillium" w:hAnsi="Titillium"/>
          <w:i/>
          <w:sz w:val="20"/>
          <w:szCs w:val="20"/>
        </w:rPr>
        <w:t>Amministrazione trasparente</w:t>
      </w:r>
      <w:r w:rsidR="00790644" w:rsidRPr="00A70013">
        <w:rPr>
          <w:rFonts w:ascii="Titillium" w:hAnsi="Titillium"/>
          <w:sz w:val="20"/>
          <w:szCs w:val="20"/>
        </w:rPr>
        <w:t>»</w:t>
      </w:r>
      <w:r w:rsidR="00900DA4" w:rsidRPr="00A70013">
        <w:rPr>
          <w:rFonts w:ascii="Titillium" w:hAnsi="Titillium"/>
          <w:sz w:val="20"/>
          <w:szCs w:val="20"/>
        </w:rPr>
        <w:t xml:space="preserve"> o «</w:t>
      </w:r>
      <w:r w:rsidR="00900DA4" w:rsidRPr="00A70013">
        <w:rPr>
          <w:rFonts w:ascii="Titillium" w:hAnsi="Titillium"/>
          <w:i/>
          <w:sz w:val="20"/>
          <w:szCs w:val="20"/>
        </w:rPr>
        <w:t>Società trasparente</w:t>
      </w:r>
      <w:r w:rsidR="00900DA4" w:rsidRPr="00A70013">
        <w:rPr>
          <w:rFonts w:ascii="Titillium" w:hAnsi="Titillium"/>
          <w:sz w:val="20"/>
          <w:szCs w:val="20"/>
        </w:rPr>
        <w:t>»</w:t>
      </w:r>
      <w:r w:rsidR="00C35396" w:rsidRPr="00A70013">
        <w:rPr>
          <w:rFonts w:ascii="Titillium" w:hAnsi="Titillium"/>
          <w:sz w:val="20"/>
          <w:szCs w:val="20"/>
        </w:rPr>
        <w:t>;</w:t>
      </w:r>
    </w:p>
    <w:p w14:paraId="4FAC5D72" w14:textId="77777777" w:rsidR="00C35396" w:rsidRPr="00A70013" w:rsidRDefault="00C35396" w:rsidP="00A70013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0" w:line="276" w:lineRule="auto"/>
        <w:ind w:left="0" w:firstLine="284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</w:t>
      </w:r>
      <w:r w:rsidR="00FC09C4" w:rsidRPr="00A70013">
        <w:rPr>
          <w:rFonts w:ascii="Titillium" w:hAnsi="Titillium"/>
          <w:sz w:val="20"/>
          <w:szCs w:val="20"/>
        </w:rPr>
        <w:t xml:space="preserve">il dato </w:t>
      </w:r>
      <w:r w:rsidRPr="00A70013">
        <w:rPr>
          <w:rFonts w:ascii="Titillium" w:hAnsi="Titillium"/>
          <w:sz w:val="20"/>
          <w:szCs w:val="20"/>
        </w:rPr>
        <w:t xml:space="preserve">risulta pubblicato nella sezione </w:t>
      </w:r>
      <w:r w:rsidR="00790644" w:rsidRPr="00A70013">
        <w:rPr>
          <w:rFonts w:ascii="Titillium" w:hAnsi="Titillium"/>
          <w:sz w:val="20"/>
          <w:szCs w:val="20"/>
        </w:rPr>
        <w:t>«</w:t>
      </w:r>
      <w:r w:rsidR="00556868" w:rsidRPr="00A70013">
        <w:rPr>
          <w:rFonts w:ascii="Titillium" w:hAnsi="Titillium"/>
          <w:i/>
          <w:sz w:val="20"/>
          <w:szCs w:val="20"/>
        </w:rPr>
        <w:t xml:space="preserve">Amministrazione </w:t>
      </w:r>
      <w:r w:rsidR="00790644" w:rsidRPr="00A70013">
        <w:rPr>
          <w:rFonts w:ascii="Titillium" w:hAnsi="Titillium"/>
          <w:i/>
          <w:sz w:val="20"/>
          <w:szCs w:val="20"/>
        </w:rPr>
        <w:t>trasparente</w:t>
      </w:r>
      <w:r w:rsidR="00790644" w:rsidRPr="00A70013">
        <w:rPr>
          <w:rFonts w:ascii="Titillium" w:hAnsi="Titillium"/>
          <w:sz w:val="20"/>
          <w:szCs w:val="20"/>
        </w:rPr>
        <w:t>»</w:t>
      </w:r>
      <w:r w:rsidR="00900DA4" w:rsidRPr="00A70013">
        <w:rPr>
          <w:rFonts w:ascii="Titillium" w:hAnsi="Titillium"/>
          <w:sz w:val="20"/>
          <w:szCs w:val="20"/>
        </w:rPr>
        <w:t xml:space="preserve"> o «</w:t>
      </w:r>
      <w:r w:rsidR="00900DA4" w:rsidRPr="00A70013">
        <w:rPr>
          <w:rFonts w:ascii="Titillium" w:hAnsi="Titillium"/>
          <w:i/>
          <w:sz w:val="20"/>
          <w:szCs w:val="20"/>
        </w:rPr>
        <w:t>Società trasparente</w:t>
      </w:r>
      <w:r w:rsidR="00900DA4" w:rsidRPr="00A70013">
        <w:rPr>
          <w:rFonts w:ascii="Titillium" w:hAnsi="Titillium"/>
          <w:sz w:val="20"/>
          <w:szCs w:val="20"/>
        </w:rPr>
        <w:t xml:space="preserve">» </w:t>
      </w:r>
    </w:p>
    <w:p w14:paraId="2289B303" w14:textId="77777777" w:rsidR="00FC09C4" w:rsidRPr="00A70013" w:rsidRDefault="00B15E06" w:rsidP="00A70013">
      <w:pPr>
        <w:tabs>
          <w:tab w:val="left" w:pos="0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Indicare </w:t>
      </w:r>
      <w:r w:rsidR="00FC09C4" w:rsidRPr="00A70013">
        <w:rPr>
          <w:rFonts w:ascii="Titillium" w:hAnsi="Titillium"/>
          <w:sz w:val="20"/>
          <w:szCs w:val="20"/>
        </w:rPr>
        <w:t>nel campo “Note” l’eventuale area o sezione</w:t>
      </w:r>
      <w:r w:rsidR="0085520B" w:rsidRPr="00A70013">
        <w:rPr>
          <w:rFonts w:ascii="Titillium" w:hAnsi="Titillium"/>
          <w:sz w:val="20"/>
          <w:szCs w:val="20"/>
        </w:rPr>
        <w:t xml:space="preserve">, diversa da quella denominata </w:t>
      </w:r>
      <w:r w:rsidR="00790644" w:rsidRPr="00A70013">
        <w:rPr>
          <w:rFonts w:ascii="Titillium" w:hAnsi="Titillium"/>
          <w:sz w:val="20"/>
          <w:szCs w:val="20"/>
        </w:rPr>
        <w:t>«</w:t>
      </w:r>
      <w:r w:rsidR="000170F6" w:rsidRPr="00A70013">
        <w:rPr>
          <w:rFonts w:ascii="Titillium" w:hAnsi="Titillium"/>
          <w:i/>
          <w:sz w:val="20"/>
          <w:szCs w:val="20"/>
        </w:rPr>
        <w:t xml:space="preserve">Amministrazione </w:t>
      </w:r>
      <w:r w:rsidR="00790644" w:rsidRPr="00A70013">
        <w:rPr>
          <w:rFonts w:ascii="Titillium" w:hAnsi="Titillium"/>
          <w:i/>
          <w:sz w:val="20"/>
          <w:szCs w:val="20"/>
        </w:rPr>
        <w:t>trasparente</w:t>
      </w:r>
      <w:r w:rsidR="00790644" w:rsidRPr="00A70013">
        <w:rPr>
          <w:rFonts w:ascii="Titillium" w:hAnsi="Titillium"/>
          <w:sz w:val="20"/>
          <w:szCs w:val="20"/>
        </w:rPr>
        <w:t>»</w:t>
      </w:r>
      <w:r w:rsidR="0085520B" w:rsidRPr="00A70013">
        <w:rPr>
          <w:rFonts w:ascii="Titillium" w:hAnsi="Titillium"/>
          <w:sz w:val="20"/>
          <w:szCs w:val="20"/>
        </w:rPr>
        <w:t xml:space="preserve"> o «</w:t>
      </w:r>
      <w:r w:rsidR="0085520B" w:rsidRPr="00A70013">
        <w:rPr>
          <w:rFonts w:ascii="Titillium" w:hAnsi="Titillium"/>
          <w:i/>
          <w:sz w:val="20"/>
          <w:szCs w:val="20"/>
        </w:rPr>
        <w:t>Società trasparente</w:t>
      </w:r>
      <w:r w:rsidR="0085520B" w:rsidRPr="00A70013">
        <w:rPr>
          <w:rFonts w:ascii="Titillium" w:hAnsi="Titillium"/>
          <w:sz w:val="20"/>
          <w:szCs w:val="20"/>
        </w:rPr>
        <w:t>»</w:t>
      </w:r>
      <w:r w:rsidR="00FC09C4" w:rsidRPr="00A70013">
        <w:rPr>
          <w:rFonts w:ascii="Titillium" w:hAnsi="Titillium"/>
          <w:sz w:val="20"/>
          <w:szCs w:val="20"/>
        </w:rPr>
        <w:t xml:space="preserve">, in cui </w:t>
      </w:r>
      <w:r w:rsidR="000F7BC2" w:rsidRPr="00A70013">
        <w:rPr>
          <w:rFonts w:ascii="Titillium" w:hAnsi="Titillium"/>
          <w:sz w:val="20"/>
          <w:szCs w:val="20"/>
        </w:rPr>
        <w:t>il dato risulta</w:t>
      </w:r>
      <w:r w:rsidR="00FC09C4" w:rsidRPr="00A70013">
        <w:rPr>
          <w:rFonts w:ascii="Titillium" w:hAnsi="Titillium"/>
          <w:sz w:val="20"/>
          <w:szCs w:val="20"/>
        </w:rPr>
        <w:t xml:space="preserve"> pubblicato</w:t>
      </w:r>
      <w:r w:rsidR="0085520B" w:rsidRPr="00A70013">
        <w:rPr>
          <w:rFonts w:ascii="Titillium" w:hAnsi="Titillium"/>
          <w:sz w:val="20"/>
          <w:szCs w:val="20"/>
        </w:rPr>
        <w:t xml:space="preserve"> e se è inserito un link alla sezione «</w:t>
      </w:r>
      <w:r w:rsidR="00C91468" w:rsidRPr="00A70013">
        <w:rPr>
          <w:rFonts w:ascii="Titillium" w:hAnsi="Titillium"/>
          <w:i/>
          <w:sz w:val="20"/>
          <w:szCs w:val="20"/>
        </w:rPr>
        <w:t xml:space="preserve">Amministrazione </w:t>
      </w:r>
      <w:r w:rsidR="0085520B" w:rsidRPr="00A70013">
        <w:rPr>
          <w:rFonts w:ascii="Titillium" w:hAnsi="Titillium"/>
          <w:i/>
          <w:sz w:val="20"/>
          <w:szCs w:val="20"/>
        </w:rPr>
        <w:t>trasparente</w:t>
      </w:r>
      <w:r w:rsidR="0085520B" w:rsidRPr="00A70013">
        <w:rPr>
          <w:rFonts w:ascii="Titillium" w:hAnsi="Titillium"/>
          <w:sz w:val="20"/>
          <w:szCs w:val="20"/>
        </w:rPr>
        <w:t>» o «</w:t>
      </w:r>
      <w:r w:rsidR="0085520B" w:rsidRPr="00A70013">
        <w:rPr>
          <w:rFonts w:ascii="Titillium" w:hAnsi="Titillium"/>
          <w:i/>
          <w:sz w:val="20"/>
          <w:szCs w:val="20"/>
        </w:rPr>
        <w:t>Società trasparente</w:t>
      </w:r>
      <w:r w:rsidR="0085520B" w:rsidRPr="00A70013">
        <w:rPr>
          <w:rFonts w:ascii="Titillium" w:hAnsi="Titillium"/>
          <w:sz w:val="20"/>
          <w:szCs w:val="20"/>
        </w:rPr>
        <w:t>»</w:t>
      </w:r>
      <w:r w:rsidR="00FC09C4" w:rsidRPr="00A70013">
        <w:rPr>
          <w:rFonts w:ascii="Titillium" w:hAnsi="Titillium"/>
          <w:sz w:val="20"/>
          <w:szCs w:val="20"/>
        </w:rPr>
        <w:t>.</w:t>
      </w:r>
    </w:p>
    <w:p w14:paraId="17A53057" w14:textId="77777777" w:rsidR="00C35396" w:rsidRPr="00A70013" w:rsidRDefault="00C35396" w:rsidP="00A70013">
      <w:pPr>
        <w:spacing w:after="0" w:line="276" w:lineRule="auto"/>
        <w:rPr>
          <w:rFonts w:ascii="Titillium" w:hAnsi="Titillium" w:cs="Times New Roman"/>
          <w:sz w:val="20"/>
          <w:szCs w:val="20"/>
        </w:rPr>
      </w:pPr>
    </w:p>
    <w:p w14:paraId="373C4090" w14:textId="77777777" w:rsidR="00FC09C4" w:rsidRPr="00A70013" w:rsidRDefault="00FC09C4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COMPLETEZZA DEL CONTENUTO</w:t>
      </w:r>
    </w:p>
    <w:p w14:paraId="1D85AEAE" w14:textId="77777777" w:rsidR="00FC09C4" w:rsidRPr="00A70013" w:rsidRDefault="00FC09C4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dato pubblicato riporta tutte le informazioni richieste dalle previsioni normative?</w:t>
      </w:r>
    </w:p>
    <w:p w14:paraId="2C8AFEF0" w14:textId="77777777" w:rsidR="00FC09C4" w:rsidRPr="00A70013" w:rsidRDefault="00FC09C4" w:rsidP="00A70013">
      <w:pPr>
        <w:pStyle w:val="Paragrafoelenco"/>
        <w:tabs>
          <w:tab w:val="left" w:pos="-142"/>
        </w:tabs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3:</w:t>
      </w:r>
    </w:p>
    <w:p w14:paraId="6B62F9BA" w14:textId="77777777" w:rsidR="00265175" w:rsidRPr="00A70013" w:rsidRDefault="00265175" w:rsidP="00A70013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20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il dato non risulta pubblicato;</w:t>
      </w:r>
    </w:p>
    <w:p w14:paraId="4F134BC8" w14:textId="77777777" w:rsidR="00FC09C4" w:rsidRPr="00A70013" w:rsidRDefault="004B71B6" w:rsidP="00A70013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</w:t>
      </w:r>
      <w:r w:rsidR="00326530" w:rsidRPr="00A70013">
        <w:rPr>
          <w:rFonts w:ascii="Titillium" w:hAnsi="Titillium"/>
          <w:sz w:val="20"/>
          <w:szCs w:val="20"/>
        </w:rPr>
        <w:t xml:space="preserve">le informazioni richieste risultano pubblicate in una percentuale compresa fra </w:t>
      </w:r>
      <w:r w:rsidRPr="00A70013">
        <w:rPr>
          <w:rFonts w:ascii="Titillium" w:hAnsi="Titillium"/>
          <w:sz w:val="20"/>
          <w:szCs w:val="20"/>
        </w:rPr>
        <w:t>l’1 e il 33%;</w:t>
      </w:r>
    </w:p>
    <w:p w14:paraId="324F1132" w14:textId="77777777" w:rsidR="004B71B6" w:rsidRPr="00A70013" w:rsidRDefault="00AA4530" w:rsidP="00A70013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</w:t>
      </w:r>
      <w:r w:rsidR="004B71B6" w:rsidRPr="00A70013">
        <w:rPr>
          <w:rFonts w:ascii="Titillium" w:hAnsi="Titillium"/>
          <w:sz w:val="20"/>
          <w:szCs w:val="20"/>
        </w:rPr>
        <w:t xml:space="preserve">le informazioni richieste risultano pubblicate </w:t>
      </w:r>
      <w:r w:rsidR="001B4025" w:rsidRPr="00A70013">
        <w:rPr>
          <w:rFonts w:ascii="Titillium" w:hAnsi="Titillium"/>
          <w:sz w:val="20"/>
          <w:szCs w:val="20"/>
        </w:rPr>
        <w:t>in una percen</w:t>
      </w:r>
      <w:r w:rsidR="004B71B6" w:rsidRPr="00A70013">
        <w:rPr>
          <w:rFonts w:ascii="Titillium" w:hAnsi="Titillium"/>
          <w:sz w:val="20"/>
          <w:szCs w:val="20"/>
        </w:rPr>
        <w:t>tuale compresa fra</w:t>
      </w:r>
      <w:r w:rsidRPr="00A70013">
        <w:rPr>
          <w:rFonts w:ascii="Titillium" w:hAnsi="Titillium"/>
          <w:sz w:val="20"/>
          <w:szCs w:val="20"/>
        </w:rPr>
        <w:t xml:space="preserve"> il 34 e il 66%;</w:t>
      </w:r>
    </w:p>
    <w:p w14:paraId="1E538754" w14:textId="77777777" w:rsidR="00AA4530" w:rsidRPr="00A70013" w:rsidRDefault="00AA4530" w:rsidP="00A70013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 w:cs="Times New Roman"/>
          <w:sz w:val="20"/>
          <w:szCs w:val="20"/>
        </w:rPr>
        <w:t xml:space="preserve">- </w:t>
      </w:r>
      <w:r w:rsidRPr="00A70013">
        <w:rPr>
          <w:rFonts w:ascii="Titillium" w:hAnsi="Titillium"/>
          <w:sz w:val="20"/>
          <w:szCs w:val="20"/>
        </w:rPr>
        <w:t>le informazioni richieste risultano pubblicate in una percentuale compresa fra il 67 e il 100%.</w:t>
      </w:r>
    </w:p>
    <w:p w14:paraId="057B6508" w14:textId="77777777" w:rsidR="009719FD" w:rsidRPr="00A70013" w:rsidRDefault="009719FD" w:rsidP="00A70013">
      <w:pPr>
        <w:pStyle w:val="Paragrafoelenco"/>
        <w:spacing w:line="276" w:lineRule="auto"/>
        <w:ind w:left="720" w:firstLine="0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69DF8A44" w14:textId="77777777" w:rsidR="00803ECD" w:rsidRPr="00A70013" w:rsidRDefault="00803ECD" w:rsidP="00A70013">
      <w:pPr>
        <w:pStyle w:val="Paragrafoelenco"/>
        <w:spacing w:line="276" w:lineRule="auto"/>
        <w:ind w:left="720" w:firstLine="0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lastRenderedPageBreak/>
        <w:t>COMPLETEZZA RISPETTO AGLI UFFICI</w:t>
      </w:r>
    </w:p>
    <w:p w14:paraId="3FC852E8" w14:textId="77777777" w:rsidR="00803ECD" w:rsidRPr="00A70013" w:rsidRDefault="00803ECD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dato pubblicato è riferito a tutti gli uffici?</w:t>
      </w:r>
    </w:p>
    <w:p w14:paraId="03215FF5" w14:textId="77777777" w:rsidR="00803ECD" w:rsidRPr="00A70013" w:rsidRDefault="00803ECD" w:rsidP="00A70013">
      <w:pPr>
        <w:tabs>
          <w:tab w:val="left" w:pos="-142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3:</w:t>
      </w:r>
    </w:p>
    <w:p w14:paraId="326AED08" w14:textId="77777777" w:rsidR="00803ECD" w:rsidRPr="00A70013" w:rsidRDefault="009719FD" w:rsidP="00A70013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20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</w:t>
      </w:r>
      <w:r w:rsidR="00803ECD" w:rsidRPr="00A70013">
        <w:rPr>
          <w:rFonts w:ascii="Titillium" w:hAnsi="Titillium"/>
          <w:sz w:val="20"/>
          <w:szCs w:val="20"/>
        </w:rPr>
        <w:t xml:space="preserve"> non è possibile individuare se il dato pubblicato si riferisce ad uno o più uffici;</w:t>
      </w:r>
    </w:p>
    <w:p w14:paraId="4B141A22" w14:textId="77777777" w:rsidR="00803ECD" w:rsidRPr="00A70013" w:rsidRDefault="00803ECD" w:rsidP="00A70013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il dato fa riferimento ad una percentuale di uffici compresa fra l’1 e il 33%;</w:t>
      </w:r>
    </w:p>
    <w:p w14:paraId="5D3B6D1B" w14:textId="77777777" w:rsidR="00803ECD" w:rsidRPr="00A70013" w:rsidRDefault="00803ECD" w:rsidP="00A70013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il dato fa riferimento ad una percentuale di uffici compresa fra il 34 e il 66%;</w:t>
      </w:r>
    </w:p>
    <w:p w14:paraId="4BD58E15" w14:textId="77777777" w:rsidR="00803ECD" w:rsidRPr="00A70013" w:rsidRDefault="00803ECD" w:rsidP="00A70013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 w:cs="Times New Roman"/>
          <w:sz w:val="20"/>
          <w:szCs w:val="20"/>
        </w:rPr>
        <w:t xml:space="preserve">- </w:t>
      </w:r>
      <w:r w:rsidRPr="00A70013">
        <w:rPr>
          <w:rFonts w:ascii="Titillium" w:hAnsi="Titillium"/>
          <w:sz w:val="20"/>
          <w:szCs w:val="20"/>
        </w:rPr>
        <w:t>il dato fa riferimento ad una percentuale di uffici compresa fra il 67 e il 100%.</w:t>
      </w:r>
    </w:p>
    <w:p w14:paraId="5AB89D56" w14:textId="77777777" w:rsidR="00803ECD" w:rsidRPr="00A70013" w:rsidRDefault="00803ECD" w:rsidP="00A70013">
      <w:pPr>
        <w:widowControl/>
        <w:tabs>
          <w:tab w:val="left" w:pos="-142"/>
        </w:tabs>
        <w:suppressAutoHyphens w:val="0"/>
        <w:spacing w:after="0" w:line="276" w:lineRule="auto"/>
        <w:contextualSpacing/>
        <w:rPr>
          <w:rFonts w:ascii="Titillium" w:hAnsi="Titillium" w:cs="Times New Roman"/>
          <w:sz w:val="20"/>
          <w:szCs w:val="20"/>
        </w:rPr>
      </w:pPr>
    </w:p>
    <w:p w14:paraId="7778C0AF" w14:textId="77777777" w:rsidR="00573058" w:rsidRPr="00A70013" w:rsidRDefault="00573058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AGGIORNAMENTO</w:t>
      </w:r>
    </w:p>
    <w:p w14:paraId="6E84EE9C" w14:textId="77777777" w:rsidR="00573058" w:rsidRPr="00A70013" w:rsidRDefault="00AB7880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 xml:space="preserve">La pagina </w:t>
      </w:r>
      <w:r w:rsidRPr="00A70013">
        <w:rPr>
          <w:rFonts w:ascii="Titillium" w:hAnsi="Titillium"/>
          <w:b/>
          <w:i/>
          <w:sz w:val="20"/>
          <w:szCs w:val="20"/>
        </w:rPr>
        <w:t xml:space="preserve">web </w:t>
      </w:r>
      <w:r w:rsidRPr="00A70013">
        <w:rPr>
          <w:rFonts w:ascii="Titillium" w:hAnsi="Titillium"/>
          <w:b/>
          <w:sz w:val="20"/>
          <w:szCs w:val="20"/>
        </w:rPr>
        <w:t>e i documenti pubblicati risultano aggiornati</w:t>
      </w:r>
      <w:r w:rsidR="00573058" w:rsidRPr="00A70013">
        <w:rPr>
          <w:rFonts w:ascii="Titillium" w:hAnsi="Titillium"/>
          <w:b/>
          <w:sz w:val="20"/>
          <w:szCs w:val="20"/>
        </w:rPr>
        <w:t>?</w:t>
      </w:r>
    </w:p>
    <w:p w14:paraId="7CC2CC61" w14:textId="77777777" w:rsidR="00B74905" w:rsidRPr="00A70013" w:rsidRDefault="000758FB" w:rsidP="00A70013">
      <w:pPr>
        <w:pStyle w:val="Paragrafoelenco"/>
        <w:tabs>
          <w:tab w:val="left" w:pos="-142"/>
        </w:tabs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L’aggiornamento deve essere valutato con riferimento alla </w:t>
      </w:r>
      <w:r w:rsidR="00B74905" w:rsidRPr="00A70013">
        <w:rPr>
          <w:rFonts w:ascii="Titillium" w:hAnsi="Titillium"/>
          <w:sz w:val="20"/>
          <w:szCs w:val="20"/>
        </w:rPr>
        <w:t xml:space="preserve">specifica </w:t>
      </w:r>
      <w:r w:rsidRPr="00A70013">
        <w:rPr>
          <w:rFonts w:ascii="Titillium" w:hAnsi="Titillium"/>
          <w:sz w:val="20"/>
          <w:szCs w:val="20"/>
        </w:rPr>
        <w:t>cadenza di aggiornamento prevista dalle norme</w:t>
      </w:r>
      <w:r w:rsidR="004E0A27" w:rsidRPr="00A70013">
        <w:rPr>
          <w:rFonts w:ascii="Titillium" w:hAnsi="Titillium"/>
          <w:sz w:val="20"/>
          <w:szCs w:val="20"/>
        </w:rPr>
        <w:t xml:space="preserve"> o dal PTPC- Sezione Trasparenza- </w:t>
      </w:r>
      <w:r w:rsidR="00B74905" w:rsidRPr="00A70013">
        <w:rPr>
          <w:rFonts w:ascii="Titillium" w:hAnsi="Titillium"/>
          <w:sz w:val="20"/>
          <w:szCs w:val="20"/>
        </w:rPr>
        <w:t>per ogni singolo obbligo</w:t>
      </w:r>
      <w:r w:rsidRPr="00A70013">
        <w:rPr>
          <w:rFonts w:ascii="Titillium" w:hAnsi="Titillium"/>
          <w:sz w:val="20"/>
          <w:szCs w:val="20"/>
        </w:rPr>
        <w:t xml:space="preserve">. </w:t>
      </w:r>
    </w:p>
    <w:p w14:paraId="5827B33A" w14:textId="77777777" w:rsidR="00573058" w:rsidRPr="00A70013" w:rsidRDefault="00573058" w:rsidP="00A70013">
      <w:pPr>
        <w:pStyle w:val="Paragrafoelenco"/>
        <w:tabs>
          <w:tab w:val="left" w:pos="-142"/>
        </w:tabs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3:</w:t>
      </w:r>
    </w:p>
    <w:p w14:paraId="06139A01" w14:textId="77777777" w:rsidR="00573058" w:rsidRPr="00A70013" w:rsidRDefault="00B15E06" w:rsidP="00A70013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</w:t>
      </w:r>
      <w:r w:rsidR="00573058" w:rsidRPr="00A70013">
        <w:rPr>
          <w:rFonts w:ascii="Titillium" w:hAnsi="Titillium"/>
          <w:sz w:val="20"/>
          <w:szCs w:val="20"/>
        </w:rPr>
        <w:t xml:space="preserve"> </w:t>
      </w:r>
      <w:r w:rsidRPr="00A70013">
        <w:rPr>
          <w:rFonts w:ascii="Titillium" w:hAnsi="Titillium"/>
          <w:sz w:val="20"/>
          <w:szCs w:val="20"/>
        </w:rPr>
        <w:t xml:space="preserve">non risultano aggiornati né la pagina </w:t>
      </w:r>
      <w:r w:rsidRPr="00A70013">
        <w:rPr>
          <w:rFonts w:ascii="Titillium" w:hAnsi="Titillium"/>
          <w:i/>
          <w:sz w:val="20"/>
          <w:szCs w:val="20"/>
        </w:rPr>
        <w:t>web</w:t>
      </w:r>
      <w:r w:rsidRPr="00A70013">
        <w:rPr>
          <w:rFonts w:ascii="Titillium" w:hAnsi="Titillium"/>
          <w:sz w:val="20"/>
          <w:szCs w:val="20"/>
        </w:rPr>
        <w:t xml:space="preserve"> né i dati in essa contenuti o </w:t>
      </w:r>
      <w:r w:rsidR="00573058" w:rsidRPr="00A70013">
        <w:rPr>
          <w:rFonts w:ascii="Titillium" w:hAnsi="Titillium"/>
          <w:sz w:val="20"/>
          <w:szCs w:val="20"/>
        </w:rPr>
        <w:t xml:space="preserve">non </w:t>
      </w:r>
      <w:r w:rsidR="00AB7880" w:rsidRPr="00A70013">
        <w:rPr>
          <w:rFonts w:ascii="Titillium" w:hAnsi="Titillium"/>
          <w:sz w:val="20"/>
          <w:szCs w:val="20"/>
        </w:rPr>
        <w:t xml:space="preserve">è possibile individuare la data di aggiornamento né della pagina </w:t>
      </w:r>
      <w:r w:rsidR="009A00AB" w:rsidRPr="00A70013">
        <w:rPr>
          <w:rFonts w:ascii="Titillium" w:hAnsi="Titillium"/>
          <w:i/>
          <w:sz w:val="20"/>
          <w:szCs w:val="20"/>
        </w:rPr>
        <w:t>web</w:t>
      </w:r>
      <w:r w:rsidR="009A00AB" w:rsidRPr="00A70013">
        <w:rPr>
          <w:rFonts w:ascii="Titillium" w:hAnsi="Titillium"/>
          <w:sz w:val="20"/>
          <w:szCs w:val="20"/>
        </w:rPr>
        <w:t xml:space="preserve"> </w:t>
      </w:r>
      <w:r w:rsidR="00AB7880" w:rsidRPr="00A70013">
        <w:rPr>
          <w:rFonts w:ascii="Titillium" w:hAnsi="Titillium"/>
          <w:sz w:val="20"/>
          <w:szCs w:val="20"/>
        </w:rPr>
        <w:t xml:space="preserve">né dei </w:t>
      </w:r>
      <w:r w:rsidR="00F14006" w:rsidRPr="00A70013">
        <w:rPr>
          <w:rFonts w:ascii="Titillium" w:hAnsi="Titillium"/>
          <w:sz w:val="20"/>
          <w:szCs w:val="20"/>
        </w:rPr>
        <w:t>dat</w:t>
      </w:r>
      <w:r w:rsidR="00265175" w:rsidRPr="00A70013">
        <w:rPr>
          <w:rFonts w:ascii="Titillium" w:hAnsi="Titillium"/>
          <w:sz w:val="20"/>
          <w:szCs w:val="20"/>
        </w:rPr>
        <w:t>i</w:t>
      </w:r>
      <w:r w:rsidR="00F14006" w:rsidRPr="00A70013">
        <w:rPr>
          <w:rFonts w:ascii="Titillium" w:hAnsi="Titillium"/>
          <w:sz w:val="20"/>
          <w:szCs w:val="20"/>
        </w:rPr>
        <w:t xml:space="preserve"> </w:t>
      </w:r>
      <w:r w:rsidR="00AB7880" w:rsidRPr="00A70013">
        <w:rPr>
          <w:rFonts w:ascii="Titillium" w:hAnsi="Titillium"/>
          <w:sz w:val="20"/>
          <w:szCs w:val="20"/>
        </w:rPr>
        <w:t>in essa contenuti</w:t>
      </w:r>
      <w:r w:rsidR="00573058" w:rsidRPr="00A70013">
        <w:rPr>
          <w:rFonts w:ascii="Titillium" w:hAnsi="Titillium"/>
          <w:sz w:val="20"/>
          <w:szCs w:val="20"/>
        </w:rPr>
        <w:t>;</w:t>
      </w:r>
    </w:p>
    <w:p w14:paraId="3907DB5A" w14:textId="77777777" w:rsidR="00573058" w:rsidRPr="00A70013" w:rsidRDefault="00CE6207" w:rsidP="00A70013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</w:t>
      </w:r>
      <w:r w:rsidR="00573058" w:rsidRPr="00A70013">
        <w:rPr>
          <w:rFonts w:ascii="Titillium" w:hAnsi="Titillium"/>
          <w:sz w:val="20"/>
          <w:szCs w:val="20"/>
        </w:rPr>
        <w:t xml:space="preserve"> </w:t>
      </w:r>
      <w:r w:rsidR="00B74905" w:rsidRPr="00A70013">
        <w:rPr>
          <w:rFonts w:ascii="Titillium" w:hAnsi="Titillium"/>
          <w:sz w:val="20"/>
          <w:szCs w:val="20"/>
        </w:rPr>
        <w:t>il</w:t>
      </w:r>
      <w:r w:rsidR="00AB7880" w:rsidRPr="00A70013">
        <w:rPr>
          <w:rFonts w:ascii="Titillium" w:hAnsi="Titillium"/>
          <w:sz w:val="20"/>
          <w:szCs w:val="20"/>
        </w:rPr>
        <w:t xml:space="preserve"> contenuto </w:t>
      </w:r>
      <w:r w:rsidR="005B3954" w:rsidRPr="00A70013">
        <w:rPr>
          <w:rFonts w:ascii="Titillium" w:hAnsi="Titillium"/>
          <w:sz w:val="20"/>
          <w:szCs w:val="20"/>
        </w:rPr>
        <w:t xml:space="preserve">dei </w:t>
      </w:r>
      <w:r w:rsidR="00F14006" w:rsidRPr="00A70013">
        <w:rPr>
          <w:rFonts w:ascii="Titillium" w:hAnsi="Titillium"/>
          <w:sz w:val="20"/>
          <w:szCs w:val="20"/>
        </w:rPr>
        <w:t xml:space="preserve">dati </w:t>
      </w:r>
      <w:r w:rsidR="005B3954" w:rsidRPr="00A70013">
        <w:rPr>
          <w:rFonts w:ascii="Titillium" w:hAnsi="Titillium"/>
          <w:sz w:val="20"/>
          <w:szCs w:val="20"/>
        </w:rPr>
        <w:t>pubblicati</w:t>
      </w:r>
      <w:r w:rsidR="001920CC" w:rsidRPr="00A70013">
        <w:rPr>
          <w:rFonts w:ascii="Titillium" w:hAnsi="Titillium"/>
          <w:sz w:val="20"/>
          <w:szCs w:val="20"/>
        </w:rPr>
        <w:t xml:space="preserve"> risulta aggiornato per una percentuale compresa fra l’1 e il 33</w:t>
      </w:r>
      <w:r w:rsidR="00A84020" w:rsidRPr="00A70013">
        <w:rPr>
          <w:rFonts w:ascii="Titillium" w:hAnsi="Titillium"/>
          <w:sz w:val="20"/>
          <w:szCs w:val="20"/>
        </w:rPr>
        <w:t>%</w:t>
      </w:r>
      <w:r w:rsidR="007B2997" w:rsidRPr="00A70013">
        <w:rPr>
          <w:rFonts w:ascii="Titillium" w:hAnsi="Titillium"/>
          <w:sz w:val="20"/>
          <w:szCs w:val="20"/>
        </w:rPr>
        <w:t>;</w:t>
      </w:r>
    </w:p>
    <w:p w14:paraId="7D76CE01" w14:textId="77777777" w:rsidR="00573058" w:rsidRPr="00A70013" w:rsidRDefault="00573058" w:rsidP="00A70013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</w:t>
      </w:r>
      <w:r w:rsidR="001920CC" w:rsidRPr="00A70013">
        <w:rPr>
          <w:rFonts w:ascii="Titillium" w:hAnsi="Titillium"/>
          <w:sz w:val="20"/>
          <w:szCs w:val="20"/>
        </w:rPr>
        <w:t>il contenuto dei dati pubblicati risulta aggiornato per una percentuale compresa fra il 33 e il 66%</w:t>
      </w:r>
      <w:r w:rsidR="009A00AB" w:rsidRPr="00A70013">
        <w:rPr>
          <w:rFonts w:ascii="Titillium" w:hAnsi="Titillium"/>
          <w:sz w:val="20"/>
          <w:szCs w:val="20"/>
        </w:rPr>
        <w:t>;</w:t>
      </w:r>
    </w:p>
    <w:p w14:paraId="51C9F30D" w14:textId="77777777" w:rsidR="00573058" w:rsidRPr="00A70013" w:rsidRDefault="009A00AB" w:rsidP="00A70013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 w:cs="Times New Roman"/>
          <w:sz w:val="20"/>
          <w:szCs w:val="20"/>
        </w:rPr>
        <w:t>-</w:t>
      </w:r>
      <w:r w:rsidR="00573058" w:rsidRPr="00A70013">
        <w:rPr>
          <w:rFonts w:ascii="Titillium" w:hAnsi="Titillium" w:cs="Times New Roman"/>
          <w:sz w:val="20"/>
          <w:szCs w:val="20"/>
        </w:rPr>
        <w:t xml:space="preserve"> </w:t>
      </w:r>
      <w:r w:rsidR="001920CC" w:rsidRPr="00A70013">
        <w:rPr>
          <w:rFonts w:ascii="Titillium" w:hAnsi="Titillium"/>
          <w:sz w:val="20"/>
          <w:szCs w:val="20"/>
        </w:rPr>
        <w:t>il contenuto dei dati pubblicati risulta aggiornato per una percentuale compresa fra il 67 e il 100%.</w:t>
      </w:r>
    </w:p>
    <w:p w14:paraId="4B7E08C6" w14:textId="77777777" w:rsidR="00DE55CC" w:rsidRPr="00A70013" w:rsidRDefault="00DE55CC" w:rsidP="00A70013">
      <w:pPr>
        <w:pStyle w:val="Paragrafoelenco"/>
        <w:spacing w:line="276" w:lineRule="auto"/>
        <w:ind w:left="720" w:firstLine="0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3D235F9C" w14:textId="77777777" w:rsidR="000170F6" w:rsidRPr="00A70013" w:rsidRDefault="000170F6" w:rsidP="00A70013">
      <w:pPr>
        <w:pStyle w:val="Paragrafoelenco"/>
        <w:spacing w:line="276" w:lineRule="auto"/>
        <w:ind w:left="720" w:firstLine="0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1117A8AF" w14:textId="77777777" w:rsidR="00B5098E" w:rsidRPr="00A70013" w:rsidRDefault="00B5098E" w:rsidP="00A70013">
      <w:pPr>
        <w:pStyle w:val="Paragrafoelenco"/>
        <w:spacing w:line="276" w:lineRule="auto"/>
        <w:ind w:left="720" w:firstLine="0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APERTURA FORMATO</w:t>
      </w:r>
    </w:p>
    <w:p w14:paraId="53AF0037" w14:textId="77777777" w:rsidR="00B5098E" w:rsidRPr="00A70013" w:rsidRDefault="00B5098E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formato di pubblicazione è aperto o elaborabile?</w:t>
      </w:r>
    </w:p>
    <w:p w14:paraId="7BA8121F" w14:textId="77777777" w:rsidR="00B5098E" w:rsidRPr="00A70013" w:rsidRDefault="00B5098E" w:rsidP="00A70013">
      <w:pPr>
        <w:tabs>
          <w:tab w:val="left" w:pos="-142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3:</w:t>
      </w:r>
    </w:p>
    <w:p w14:paraId="79CC2EC9" w14:textId="77777777" w:rsidR="00B5098E" w:rsidRPr="00A70013" w:rsidRDefault="00B5098E" w:rsidP="00A70013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il formato </w:t>
      </w:r>
      <w:r w:rsidR="00667015" w:rsidRPr="00A70013">
        <w:rPr>
          <w:rFonts w:ascii="Titillium" w:hAnsi="Titillium"/>
          <w:sz w:val="20"/>
          <w:szCs w:val="20"/>
        </w:rPr>
        <w:t xml:space="preserve">di pubblicazione </w:t>
      </w:r>
      <w:r w:rsidRPr="00A70013">
        <w:rPr>
          <w:rFonts w:ascii="Titillium" w:hAnsi="Titillium"/>
          <w:sz w:val="20"/>
          <w:szCs w:val="20"/>
        </w:rPr>
        <w:t>non è aperto e non è elaborabile (es. formato immagine jpeg, tif, pdf scannerizzato);</w:t>
      </w:r>
    </w:p>
    <w:p w14:paraId="292BDB38" w14:textId="77777777" w:rsidR="00B5098E" w:rsidRPr="00A70013" w:rsidRDefault="00B5098E" w:rsidP="00A70013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il formato d</w:t>
      </w:r>
      <w:r w:rsidR="00667015" w:rsidRPr="00A70013">
        <w:rPr>
          <w:rFonts w:ascii="Titillium" w:hAnsi="Titillium"/>
          <w:sz w:val="20"/>
          <w:szCs w:val="20"/>
        </w:rPr>
        <w:t>i pubblicazione</w:t>
      </w:r>
      <w:r w:rsidRPr="00A70013">
        <w:rPr>
          <w:rFonts w:ascii="Titillium" w:hAnsi="Titillium"/>
          <w:sz w:val="20"/>
          <w:szCs w:val="20"/>
        </w:rPr>
        <w:t xml:space="preserve"> è aperto (es. ods, csv, pdf elaborabile) o almeno elaborabile (es. xls, html) per una percentuale di </w:t>
      </w:r>
      <w:r w:rsidR="004216F3" w:rsidRPr="00A70013">
        <w:rPr>
          <w:rFonts w:ascii="Titillium" w:hAnsi="Titillium"/>
          <w:sz w:val="20"/>
          <w:szCs w:val="20"/>
        </w:rPr>
        <w:t>documenti compresi</w:t>
      </w:r>
      <w:r w:rsidRPr="00A70013">
        <w:rPr>
          <w:rFonts w:ascii="Titillium" w:hAnsi="Titillium"/>
          <w:sz w:val="20"/>
          <w:szCs w:val="20"/>
        </w:rPr>
        <w:t xml:space="preserve"> fra l’1 e il 33%;</w:t>
      </w:r>
    </w:p>
    <w:p w14:paraId="1285B31C" w14:textId="77777777" w:rsidR="00B5098E" w:rsidRPr="00A70013" w:rsidRDefault="00B5098E" w:rsidP="00A70013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il formato </w:t>
      </w:r>
      <w:r w:rsidR="00667015" w:rsidRPr="00A70013">
        <w:rPr>
          <w:rFonts w:ascii="Titillium" w:hAnsi="Titillium"/>
          <w:sz w:val="20"/>
          <w:szCs w:val="20"/>
        </w:rPr>
        <w:t xml:space="preserve">di pubblicazione </w:t>
      </w:r>
      <w:r w:rsidRPr="00A70013">
        <w:rPr>
          <w:rFonts w:ascii="Titillium" w:hAnsi="Titillium"/>
          <w:sz w:val="20"/>
          <w:szCs w:val="20"/>
        </w:rPr>
        <w:t xml:space="preserve">è aperto (es. ods, csv, pdf elaborabile) o almeno elaborabile (es. xls, html) per una percentuale di </w:t>
      </w:r>
      <w:r w:rsidR="004216F3" w:rsidRPr="00A70013">
        <w:rPr>
          <w:rFonts w:ascii="Titillium" w:hAnsi="Titillium"/>
          <w:sz w:val="20"/>
          <w:szCs w:val="20"/>
        </w:rPr>
        <w:t xml:space="preserve">documenti compresi </w:t>
      </w:r>
      <w:r w:rsidRPr="00A70013">
        <w:rPr>
          <w:rFonts w:ascii="Titillium" w:hAnsi="Titillium"/>
          <w:sz w:val="20"/>
          <w:szCs w:val="20"/>
        </w:rPr>
        <w:t>fra il 34 e il 66%;</w:t>
      </w:r>
    </w:p>
    <w:p w14:paraId="2E3502C1" w14:textId="77777777" w:rsidR="00B5098E" w:rsidRPr="00A70013" w:rsidRDefault="00B5098E" w:rsidP="00A70013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 w:cs="Times New Roman"/>
          <w:sz w:val="20"/>
          <w:szCs w:val="20"/>
        </w:rPr>
        <w:t xml:space="preserve">- </w:t>
      </w:r>
      <w:r w:rsidRPr="00A70013">
        <w:rPr>
          <w:rFonts w:ascii="Titillium" w:hAnsi="Titillium"/>
          <w:sz w:val="20"/>
          <w:szCs w:val="20"/>
        </w:rPr>
        <w:t xml:space="preserve">il formato </w:t>
      </w:r>
      <w:r w:rsidR="00667015" w:rsidRPr="00A70013">
        <w:rPr>
          <w:rFonts w:ascii="Titillium" w:hAnsi="Titillium"/>
          <w:sz w:val="20"/>
          <w:szCs w:val="20"/>
        </w:rPr>
        <w:t xml:space="preserve">di pubblicazione </w:t>
      </w:r>
      <w:r w:rsidRPr="00A70013">
        <w:rPr>
          <w:rFonts w:ascii="Titillium" w:hAnsi="Titillium"/>
          <w:sz w:val="20"/>
          <w:szCs w:val="20"/>
        </w:rPr>
        <w:t xml:space="preserve">è aperto (es. ods, csv, pdf elaborabile) o almeno elaborabile (es. xls, html) per una percentuale di </w:t>
      </w:r>
      <w:r w:rsidR="004216F3" w:rsidRPr="00A70013">
        <w:rPr>
          <w:rFonts w:ascii="Titillium" w:hAnsi="Titillium"/>
          <w:sz w:val="20"/>
          <w:szCs w:val="20"/>
        </w:rPr>
        <w:t xml:space="preserve">documenti compresi </w:t>
      </w:r>
      <w:r w:rsidRPr="00A70013">
        <w:rPr>
          <w:rFonts w:ascii="Titillium" w:hAnsi="Titillium"/>
          <w:sz w:val="20"/>
          <w:szCs w:val="20"/>
        </w:rPr>
        <w:t>fra il 67 e il 100%.</w:t>
      </w:r>
    </w:p>
    <w:p w14:paraId="42B767D3" w14:textId="77777777" w:rsidR="00856E0D" w:rsidRPr="00A70013" w:rsidRDefault="00856E0D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1116EEF5" w14:textId="1C6C8B0A" w:rsidR="00CF5192" w:rsidRPr="00A70013" w:rsidRDefault="00BD4F88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Griglia di rilevazione </w:t>
      </w:r>
      <w:r w:rsidR="00CF5192" w:rsidRPr="00A70013">
        <w:rPr>
          <w:rFonts w:ascii="Titillium" w:hAnsi="Titillium" w:cs="Times New Roman"/>
          <w:b/>
          <w:sz w:val="20"/>
          <w:szCs w:val="20"/>
          <w:u w:val="single"/>
        </w:rPr>
        <w:t>– Uffici</w:t>
      </w:r>
      <w:r w:rsidR="00B556E4"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 periferici</w:t>
      </w:r>
      <w:r w:rsidR="00F14006"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 </w:t>
      </w:r>
    </w:p>
    <w:p w14:paraId="37D9F6A9" w14:textId="77777777" w:rsidR="00CF5192" w:rsidRPr="00A70013" w:rsidRDefault="00CF5192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3FD87A13" w14:textId="77777777" w:rsidR="00CF5192" w:rsidRPr="00A70013" w:rsidRDefault="00CF5192" w:rsidP="00A70013">
      <w:pPr>
        <w:widowControl/>
        <w:tabs>
          <w:tab w:val="left" w:pos="-142"/>
        </w:tabs>
        <w:suppressAutoHyphens w:val="0"/>
        <w:spacing w:after="200"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lastRenderedPageBreak/>
        <w:t>COMPLETEZZA RISPETTO AGLI UFFICI</w:t>
      </w:r>
      <w:r w:rsidR="00B556E4"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 PERIFERICI</w:t>
      </w:r>
    </w:p>
    <w:p w14:paraId="6ED00C15" w14:textId="77777777" w:rsidR="00604B19" w:rsidRPr="00A70013" w:rsidRDefault="00604B19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dato pubblicato è riferito a tutti gli uffici periferici?</w:t>
      </w:r>
    </w:p>
    <w:p w14:paraId="3E6C7206" w14:textId="5FABCB9A" w:rsidR="00320D93" w:rsidRPr="00A70013" w:rsidRDefault="007E5A22" w:rsidP="00A70013">
      <w:pPr>
        <w:tabs>
          <w:tab w:val="left" w:pos="-142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Il presente dato deve essere attestato</w:t>
      </w:r>
      <w:r w:rsidR="005606D2" w:rsidRPr="00A70013">
        <w:rPr>
          <w:rFonts w:ascii="Titillium" w:hAnsi="Titillium"/>
          <w:sz w:val="20"/>
          <w:szCs w:val="20"/>
        </w:rPr>
        <w:t xml:space="preserve"> </w:t>
      </w:r>
      <w:r w:rsidR="005606D2" w:rsidRPr="00A70013">
        <w:rPr>
          <w:rFonts w:ascii="Titillium" w:hAnsi="Titillium"/>
          <w:b/>
          <w:sz w:val="20"/>
          <w:szCs w:val="20"/>
          <w:u w:val="single"/>
        </w:rPr>
        <w:t>esclusivamente</w:t>
      </w:r>
      <w:r w:rsidR="005606D2" w:rsidRPr="00A70013">
        <w:rPr>
          <w:rFonts w:ascii="Titillium" w:hAnsi="Titillium"/>
          <w:sz w:val="20"/>
          <w:szCs w:val="20"/>
        </w:rPr>
        <w:t xml:space="preserve"> </w:t>
      </w:r>
      <w:r w:rsidRPr="00A70013">
        <w:rPr>
          <w:rFonts w:ascii="Titillium" w:hAnsi="Titillium"/>
          <w:sz w:val="20"/>
          <w:szCs w:val="20"/>
        </w:rPr>
        <w:t xml:space="preserve">con riferimento </w:t>
      </w:r>
      <w:r w:rsidR="00DE55CC" w:rsidRPr="00A70013">
        <w:rPr>
          <w:rFonts w:ascii="Titillium" w:hAnsi="Titillium"/>
          <w:sz w:val="20"/>
          <w:szCs w:val="20"/>
        </w:rPr>
        <w:t>ai Ministeri e agli Enti pubblici nazionali con uffici periferici.</w:t>
      </w:r>
      <w:r w:rsidR="00B520B8" w:rsidRPr="00A70013">
        <w:rPr>
          <w:rFonts w:ascii="Titillium" w:hAnsi="Titillium"/>
          <w:sz w:val="20"/>
          <w:szCs w:val="20"/>
        </w:rPr>
        <w:t xml:space="preserve"> </w:t>
      </w:r>
    </w:p>
    <w:p w14:paraId="615F1556" w14:textId="77777777" w:rsidR="00320D93" w:rsidRPr="00A70013" w:rsidRDefault="003A2051" w:rsidP="00A70013">
      <w:pPr>
        <w:tabs>
          <w:tab w:val="left" w:pos="-142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Considerata la numerosità degli uffici periferici, gli OIV</w:t>
      </w:r>
      <w:r w:rsidR="00FA6B67" w:rsidRPr="00A70013">
        <w:rPr>
          <w:rFonts w:ascii="Titillium" w:hAnsi="Titillium"/>
          <w:sz w:val="20"/>
          <w:szCs w:val="20"/>
        </w:rPr>
        <w:t>,</w:t>
      </w:r>
      <w:r w:rsidRPr="00A70013">
        <w:rPr>
          <w:rFonts w:ascii="Titillium" w:hAnsi="Titillium"/>
          <w:sz w:val="20"/>
          <w:szCs w:val="20"/>
        </w:rPr>
        <w:t xml:space="preserve"> o </w:t>
      </w:r>
      <w:r w:rsidR="0085520B" w:rsidRPr="00A70013">
        <w:rPr>
          <w:rFonts w:ascii="Titillium" w:hAnsi="Titillium"/>
          <w:sz w:val="20"/>
          <w:szCs w:val="20"/>
        </w:rPr>
        <w:t xml:space="preserve">gli altri organismi con </w:t>
      </w:r>
      <w:r w:rsidRPr="00A70013">
        <w:rPr>
          <w:rFonts w:ascii="Titillium" w:hAnsi="Titillium"/>
          <w:sz w:val="20"/>
          <w:szCs w:val="20"/>
        </w:rPr>
        <w:t xml:space="preserve">funzioni </w:t>
      </w:r>
      <w:r w:rsidR="00FA6B67" w:rsidRPr="00A70013">
        <w:rPr>
          <w:rFonts w:ascii="Titillium" w:hAnsi="Titillium"/>
          <w:sz w:val="20"/>
          <w:szCs w:val="20"/>
        </w:rPr>
        <w:t>analoghe,</w:t>
      </w:r>
      <w:r w:rsidRPr="00A70013">
        <w:rPr>
          <w:rFonts w:ascii="Titillium" w:hAnsi="Titillium"/>
          <w:sz w:val="20"/>
          <w:szCs w:val="20"/>
        </w:rPr>
        <w:t xml:space="preserve"> concentra</w:t>
      </w:r>
      <w:r w:rsidR="00FA6B67" w:rsidRPr="00A70013">
        <w:rPr>
          <w:rFonts w:ascii="Titillium" w:hAnsi="Titillium"/>
          <w:sz w:val="20"/>
          <w:szCs w:val="20"/>
        </w:rPr>
        <w:t>no</w:t>
      </w:r>
      <w:r w:rsidRPr="00A70013">
        <w:rPr>
          <w:rFonts w:ascii="Titillium" w:hAnsi="Titillium"/>
          <w:sz w:val="20"/>
          <w:szCs w:val="20"/>
        </w:rPr>
        <w:t xml:space="preserve"> le </w:t>
      </w:r>
      <w:r w:rsidR="00FA6B67" w:rsidRPr="00A70013">
        <w:rPr>
          <w:rFonts w:ascii="Titillium" w:hAnsi="Titillium"/>
          <w:sz w:val="20"/>
          <w:szCs w:val="20"/>
        </w:rPr>
        <w:t xml:space="preserve">loro </w:t>
      </w:r>
      <w:r w:rsidRPr="00A70013">
        <w:rPr>
          <w:rFonts w:ascii="Titillium" w:hAnsi="Titillium"/>
          <w:sz w:val="20"/>
          <w:szCs w:val="20"/>
        </w:rPr>
        <w:t>verifiche su un campione</w:t>
      </w:r>
      <w:r w:rsidR="00F6314D" w:rsidRPr="00A70013">
        <w:rPr>
          <w:rFonts w:ascii="Titillium" w:hAnsi="Titillium"/>
          <w:sz w:val="20"/>
          <w:szCs w:val="20"/>
        </w:rPr>
        <w:t xml:space="preserve"> rappresentativo</w:t>
      </w:r>
      <w:r w:rsidRPr="00A70013">
        <w:rPr>
          <w:rFonts w:ascii="Titillium" w:hAnsi="Titillium"/>
          <w:sz w:val="20"/>
          <w:szCs w:val="20"/>
        </w:rPr>
        <w:t xml:space="preserve"> </w:t>
      </w:r>
      <w:r w:rsidR="00CA60F2" w:rsidRPr="00A70013">
        <w:rPr>
          <w:rFonts w:ascii="Titillium" w:hAnsi="Titillium"/>
          <w:sz w:val="20"/>
          <w:szCs w:val="20"/>
        </w:rPr>
        <w:t xml:space="preserve">di uffici </w:t>
      </w:r>
      <w:r w:rsidRPr="00A70013">
        <w:rPr>
          <w:rFonts w:ascii="Titillium" w:hAnsi="Titillium"/>
          <w:sz w:val="20"/>
          <w:szCs w:val="20"/>
        </w:rPr>
        <w:t xml:space="preserve">autonomamente selezionato </w:t>
      </w:r>
      <w:r w:rsidR="00F6314D" w:rsidRPr="00A70013">
        <w:rPr>
          <w:rFonts w:ascii="Titillium" w:hAnsi="Titillium"/>
          <w:sz w:val="20"/>
          <w:szCs w:val="20"/>
        </w:rPr>
        <w:t>che deve comprendere almeno il 2</w:t>
      </w:r>
      <w:r w:rsidRPr="00A70013">
        <w:rPr>
          <w:rFonts w:ascii="Titillium" w:hAnsi="Titillium"/>
          <w:sz w:val="20"/>
          <w:szCs w:val="20"/>
        </w:rPr>
        <w:t>0% degli uffici periferici esistenti.</w:t>
      </w:r>
    </w:p>
    <w:p w14:paraId="17C2772F" w14:textId="77777777" w:rsidR="003A2051" w:rsidRPr="00A70013" w:rsidRDefault="003A2051" w:rsidP="00A70013">
      <w:pPr>
        <w:tabs>
          <w:tab w:val="left" w:pos="-142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L’elenco degli uffici selezionati e il relativo criterio di selezione devono essere inseriti all’interno </w:t>
      </w:r>
      <w:r w:rsidR="00AB09A0" w:rsidRPr="00A70013">
        <w:rPr>
          <w:rFonts w:ascii="Titillium" w:hAnsi="Titillium"/>
          <w:sz w:val="20"/>
          <w:szCs w:val="20"/>
        </w:rPr>
        <w:t>dell’</w:t>
      </w:r>
      <w:r w:rsidR="00AB09A0" w:rsidRPr="00A70013">
        <w:rPr>
          <w:rFonts w:ascii="Titillium" w:hAnsi="Titillium"/>
          <w:b/>
          <w:sz w:val="20"/>
          <w:szCs w:val="20"/>
        </w:rPr>
        <w:t xml:space="preserve">Allegato </w:t>
      </w:r>
      <w:r w:rsidR="00265175" w:rsidRPr="00A70013">
        <w:rPr>
          <w:rFonts w:ascii="Titillium" w:hAnsi="Titillium"/>
          <w:b/>
          <w:sz w:val="20"/>
          <w:szCs w:val="20"/>
        </w:rPr>
        <w:t>3</w:t>
      </w:r>
      <w:r w:rsidRPr="00A70013">
        <w:rPr>
          <w:rFonts w:ascii="Titillium" w:hAnsi="Titillium"/>
          <w:sz w:val="20"/>
          <w:szCs w:val="20"/>
        </w:rPr>
        <w:t>.</w:t>
      </w:r>
    </w:p>
    <w:p w14:paraId="1A6311FB" w14:textId="77777777" w:rsidR="00604B19" w:rsidRPr="00A70013" w:rsidRDefault="00604B19" w:rsidP="00A70013">
      <w:pPr>
        <w:tabs>
          <w:tab w:val="left" w:pos="-142"/>
        </w:tabs>
        <w:spacing w:before="240"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3:</w:t>
      </w:r>
    </w:p>
    <w:p w14:paraId="65B57DBB" w14:textId="77777777" w:rsidR="00604B19" w:rsidRPr="00A70013" w:rsidRDefault="00CD0074" w:rsidP="00A70013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</w:t>
      </w:r>
      <w:r w:rsidR="00604B19" w:rsidRPr="00A70013">
        <w:rPr>
          <w:rFonts w:ascii="Titillium" w:hAnsi="Titillium"/>
          <w:sz w:val="20"/>
          <w:szCs w:val="20"/>
        </w:rPr>
        <w:t xml:space="preserve"> </w:t>
      </w:r>
      <w:r w:rsidRPr="00A70013">
        <w:rPr>
          <w:rFonts w:ascii="Titillium" w:hAnsi="Titillium"/>
          <w:sz w:val="20"/>
          <w:szCs w:val="20"/>
        </w:rPr>
        <w:t xml:space="preserve">il dato relativo agli uffici periferici </w:t>
      </w:r>
      <w:r w:rsidR="00320D93" w:rsidRPr="00A70013">
        <w:rPr>
          <w:rFonts w:ascii="Titillium" w:hAnsi="Titillium"/>
          <w:sz w:val="20"/>
          <w:szCs w:val="20"/>
        </w:rPr>
        <w:t xml:space="preserve">considerati nel campione selezionato </w:t>
      </w:r>
      <w:r w:rsidRPr="00A70013">
        <w:rPr>
          <w:rFonts w:ascii="Titillium" w:hAnsi="Titillium"/>
          <w:sz w:val="20"/>
          <w:szCs w:val="20"/>
        </w:rPr>
        <w:t xml:space="preserve">non risulta pubblicato o </w:t>
      </w:r>
      <w:r w:rsidR="00604B19" w:rsidRPr="00A70013">
        <w:rPr>
          <w:rFonts w:ascii="Titillium" w:hAnsi="Titillium"/>
          <w:sz w:val="20"/>
          <w:szCs w:val="20"/>
        </w:rPr>
        <w:t>non è possibile individuare se il dato pubblicato si riferisce ad uno o più uffici periferici;</w:t>
      </w:r>
    </w:p>
    <w:p w14:paraId="7EA56DEF" w14:textId="77777777" w:rsidR="00604B19" w:rsidRPr="00A70013" w:rsidRDefault="00604B19" w:rsidP="00A70013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il dato fa riferimento ad una percentuale di uffici periferici </w:t>
      </w:r>
      <w:r w:rsidR="00CA60F2" w:rsidRPr="00A70013">
        <w:rPr>
          <w:rFonts w:ascii="Titillium" w:hAnsi="Titillium"/>
          <w:sz w:val="20"/>
          <w:szCs w:val="20"/>
        </w:rPr>
        <w:t xml:space="preserve">(del campione) </w:t>
      </w:r>
      <w:r w:rsidRPr="00A70013">
        <w:rPr>
          <w:rFonts w:ascii="Titillium" w:hAnsi="Titillium"/>
          <w:sz w:val="20"/>
          <w:szCs w:val="20"/>
        </w:rPr>
        <w:t>compresa fra l’1 e il 33%;</w:t>
      </w:r>
    </w:p>
    <w:p w14:paraId="2B776575" w14:textId="77777777" w:rsidR="00604B19" w:rsidRPr="00A70013" w:rsidRDefault="00604B19" w:rsidP="00A70013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il dato fa riferimento ad una percentuale di uffici periferici </w:t>
      </w:r>
      <w:r w:rsidR="00CA60F2" w:rsidRPr="00A70013">
        <w:rPr>
          <w:rFonts w:ascii="Titillium" w:hAnsi="Titillium"/>
          <w:sz w:val="20"/>
          <w:szCs w:val="20"/>
        </w:rPr>
        <w:t xml:space="preserve">(del campione) </w:t>
      </w:r>
      <w:r w:rsidRPr="00A70013">
        <w:rPr>
          <w:rFonts w:ascii="Titillium" w:hAnsi="Titillium"/>
          <w:sz w:val="20"/>
          <w:szCs w:val="20"/>
        </w:rPr>
        <w:t>compresa fra il 34 e il 66%;</w:t>
      </w:r>
    </w:p>
    <w:p w14:paraId="1E7C0842" w14:textId="77777777" w:rsidR="0017268D" w:rsidRPr="00A70013" w:rsidRDefault="00604B19" w:rsidP="00A70013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200" w:line="276" w:lineRule="auto"/>
        <w:ind w:left="709" w:hanging="425"/>
        <w:contextualSpacing/>
        <w:jc w:val="left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sz w:val="20"/>
          <w:szCs w:val="20"/>
        </w:rPr>
        <w:t xml:space="preserve">- </w:t>
      </w:r>
      <w:r w:rsidRPr="00A70013">
        <w:rPr>
          <w:rFonts w:ascii="Titillium" w:hAnsi="Titillium"/>
          <w:sz w:val="20"/>
          <w:szCs w:val="20"/>
        </w:rPr>
        <w:t xml:space="preserve">il dato fa riferimento ad una percentuale di uffici periferici </w:t>
      </w:r>
      <w:r w:rsidR="00CA60F2" w:rsidRPr="00A70013">
        <w:rPr>
          <w:rFonts w:ascii="Titillium" w:hAnsi="Titillium"/>
          <w:sz w:val="20"/>
          <w:szCs w:val="20"/>
        </w:rPr>
        <w:t xml:space="preserve">(del campione) </w:t>
      </w:r>
      <w:r w:rsidRPr="00A70013">
        <w:rPr>
          <w:rFonts w:ascii="Titillium" w:hAnsi="Titillium"/>
          <w:sz w:val="20"/>
          <w:szCs w:val="20"/>
        </w:rPr>
        <w:t>compresa fra il 67 e il 100%.</w:t>
      </w:r>
    </w:p>
    <w:sectPr w:rsidR="0017268D" w:rsidRPr="00A70013" w:rsidSect="006E01A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7E2B6" w16cex:dateUtc="2021-04-19T09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4E83B2" w16cid:durableId="2427E2B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F8E94" w14:textId="77777777" w:rsidR="00571E8C" w:rsidRDefault="00571E8C" w:rsidP="008833F8">
      <w:pPr>
        <w:spacing w:after="0"/>
      </w:pPr>
      <w:r>
        <w:separator/>
      </w:r>
    </w:p>
  </w:endnote>
  <w:endnote w:type="continuationSeparator" w:id="0">
    <w:p w14:paraId="622585DD" w14:textId="77777777" w:rsidR="00571E8C" w:rsidRDefault="00571E8C" w:rsidP="008833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908264"/>
      <w:docPartObj>
        <w:docPartGallery w:val="Page Numbers (Bottom of Page)"/>
        <w:docPartUnique/>
      </w:docPartObj>
    </w:sdtPr>
    <w:sdtEndPr/>
    <w:sdtContent>
      <w:p w14:paraId="3FDCF6D2" w14:textId="2346418F" w:rsidR="002D02A7" w:rsidRDefault="002D02A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DA2">
          <w:rPr>
            <w:noProof/>
          </w:rPr>
          <w:t>2</w:t>
        </w:r>
        <w:r>
          <w:fldChar w:fldCharType="end"/>
        </w:r>
      </w:p>
    </w:sdtContent>
  </w:sdt>
  <w:p w14:paraId="1AF5ADE2" w14:textId="77777777" w:rsidR="002D02A7" w:rsidRDefault="002D02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7900A" w14:textId="77777777" w:rsidR="00571E8C" w:rsidRDefault="00571E8C" w:rsidP="008833F8">
      <w:pPr>
        <w:spacing w:after="0"/>
      </w:pPr>
      <w:r>
        <w:separator/>
      </w:r>
    </w:p>
  </w:footnote>
  <w:footnote w:type="continuationSeparator" w:id="0">
    <w:p w14:paraId="5C758415" w14:textId="77777777" w:rsidR="00571E8C" w:rsidRDefault="00571E8C" w:rsidP="008833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93FAD" w14:textId="77777777" w:rsidR="00C91468" w:rsidRDefault="00C91468" w:rsidP="00893627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43815A46" wp14:editId="54710C44">
          <wp:simplePos x="0" y="0"/>
          <wp:positionH relativeFrom="margin">
            <wp:posOffset>-147638</wp:posOffset>
          </wp:positionH>
          <wp:positionV relativeFrom="topMargin">
            <wp:posOffset>450215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7C81FB" w14:textId="77777777" w:rsidR="00C91468" w:rsidRDefault="00C91468" w:rsidP="00893627">
    <w:pPr>
      <w:pStyle w:val="Intestazione"/>
      <w:jc w:val="right"/>
      <w:rPr>
        <w:rFonts w:ascii="Garamond" w:hAnsi="Garamond"/>
        <w:b/>
      </w:rPr>
    </w:pPr>
  </w:p>
  <w:p w14:paraId="7D931B26" w14:textId="77777777" w:rsidR="00C91468" w:rsidRDefault="00C91468" w:rsidP="00893627">
    <w:pPr>
      <w:pStyle w:val="Intestazione"/>
      <w:jc w:val="right"/>
      <w:rPr>
        <w:rFonts w:ascii="Garamond" w:hAnsi="Garamond"/>
        <w:b/>
      </w:rPr>
    </w:pPr>
  </w:p>
  <w:p w14:paraId="37684783" w14:textId="77777777" w:rsidR="00E944C5" w:rsidRPr="00A70013" w:rsidRDefault="00E944C5" w:rsidP="00A70013">
    <w:pPr>
      <w:pStyle w:val="Intestazione"/>
      <w:spacing w:line="276" w:lineRule="auto"/>
      <w:jc w:val="right"/>
      <w:rPr>
        <w:rFonts w:ascii="Titillium" w:hAnsi="Titillium" w:cs="Times New Roman"/>
        <w:b/>
        <w:sz w:val="20"/>
        <w:szCs w:val="20"/>
      </w:rPr>
    </w:pPr>
    <w:r w:rsidRPr="00A70013">
      <w:rPr>
        <w:rFonts w:ascii="Titillium" w:hAnsi="Titillium"/>
        <w:b/>
        <w:sz w:val="20"/>
        <w:szCs w:val="20"/>
      </w:rPr>
      <w:t xml:space="preserve">Allegato 4 alla </w:t>
    </w:r>
    <w:r w:rsidRPr="00A70013">
      <w:rPr>
        <w:rFonts w:ascii="Titillium" w:hAnsi="Titillium" w:cs="Times New Roman"/>
        <w:b/>
        <w:sz w:val="20"/>
        <w:szCs w:val="20"/>
      </w:rPr>
      <w:t>delibera ANAC n. 294/2021</w:t>
    </w:r>
  </w:p>
  <w:p w14:paraId="0F401794" w14:textId="77777777" w:rsidR="00C91468" w:rsidRPr="007A55E4" w:rsidRDefault="00C91468" w:rsidP="00893627">
    <w:pPr>
      <w:pStyle w:val="Intestazione"/>
      <w:jc w:val="right"/>
      <w:rPr>
        <w:rFonts w:ascii="Garamond" w:hAnsi="Garamond" w:cs="Times New Roman"/>
        <w:b/>
      </w:rPr>
    </w:pPr>
  </w:p>
  <w:p w14:paraId="28D53E1E" w14:textId="77777777" w:rsidR="00626A24" w:rsidRPr="00A6002D" w:rsidRDefault="00626A24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5E3"/>
    <w:multiLevelType w:val="hybridMultilevel"/>
    <w:tmpl w:val="56EC2C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418B3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43967"/>
    <w:multiLevelType w:val="hybridMultilevel"/>
    <w:tmpl w:val="A5F8A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B2FE2"/>
    <w:multiLevelType w:val="hybridMultilevel"/>
    <w:tmpl w:val="32462F32"/>
    <w:lvl w:ilvl="0" w:tplc="215876D2"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4322D"/>
    <w:multiLevelType w:val="hybridMultilevel"/>
    <w:tmpl w:val="88A83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B6E18"/>
    <w:multiLevelType w:val="hybridMultilevel"/>
    <w:tmpl w:val="4F782DBA"/>
    <w:lvl w:ilvl="0" w:tplc="E84A175A">
      <w:start w:val="1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3A272DAE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54BA3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609DD"/>
    <w:multiLevelType w:val="hybridMultilevel"/>
    <w:tmpl w:val="28C0C2D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E835DA"/>
    <w:multiLevelType w:val="hybridMultilevel"/>
    <w:tmpl w:val="C12AEF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93609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7751B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884CFE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63490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628BC"/>
    <w:multiLevelType w:val="hybridMultilevel"/>
    <w:tmpl w:val="6FD24D82"/>
    <w:lvl w:ilvl="0" w:tplc="E71A8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7F0DFC"/>
    <w:multiLevelType w:val="hybridMultilevel"/>
    <w:tmpl w:val="3808D464"/>
    <w:lvl w:ilvl="0" w:tplc="8E04A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12"/>
  </w:num>
  <w:num w:numId="5">
    <w:abstractNumId w:val="11"/>
  </w:num>
  <w:num w:numId="6">
    <w:abstractNumId w:val="9"/>
  </w:num>
  <w:num w:numId="7">
    <w:abstractNumId w:val="5"/>
  </w:num>
  <w:num w:numId="8">
    <w:abstractNumId w:val="10"/>
  </w:num>
  <w:num w:numId="9">
    <w:abstractNumId w:val="13"/>
  </w:num>
  <w:num w:numId="10">
    <w:abstractNumId w:val="7"/>
  </w:num>
  <w:num w:numId="11">
    <w:abstractNumId w:val="3"/>
  </w:num>
  <w:num w:numId="12">
    <w:abstractNumId w:val="6"/>
  </w:num>
  <w:num w:numId="13">
    <w:abstractNumId w:val="14"/>
  </w:num>
  <w:num w:numId="14">
    <w:abstractNumId w:val="1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F8"/>
    <w:rsid w:val="00000F17"/>
    <w:rsid w:val="000170F6"/>
    <w:rsid w:val="00031887"/>
    <w:rsid w:val="00032A53"/>
    <w:rsid w:val="0004087B"/>
    <w:rsid w:val="000758FB"/>
    <w:rsid w:val="000A0FBD"/>
    <w:rsid w:val="000B6AFF"/>
    <w:rsid w:val="000F7BC2"/>
    <w:rsid w:val="00101F89"/>
    <w:rsid w:val="001050BE"/>
    <w:rsid w:val="001061AF"/>
    <w:rsid w:val="001274DD"/>
    <w:rsid w:val="001352B3"/>
    <w:rsid w:val="001430DC"/>
    <w:rsid w:val="00143138"/>
    <w:rsid w:val="001553EA"/>
    <w:rsid w:val="0017268D"/>
    <w:rsid w:val="001920CC"/>
    <w:rsid w:val="001973A8"/>
    <w:rsid w:val="001B4025"/>
    <w:rsid w:val="001C5FFF"/>
    <w:rsid w:val="00211121"/>
    <w:rsid w:val="00226252"/>
    <w:rsid w:val="00235AA8"/>
    <w:rsid w:val="00265175"/>
    <w:rsid w:val="002856DE"/>
    <w:rsid w:val="002C793D"/>
    <w:rsid w:val="002D02A7"/>
    <w:rsid w:val="002D0E99"/>
    <w:rsid w:val="002E2FE5"/>
    <w:rsid w:val="002F5271"/>
    <w:rsid w:val="002F6FB5"/>
    <w:rsid w:val="00304DB0"/>
    <w:rsid w:val="00320D93"/>
    <w:rsid w:val="00326530"/>
    <w:rsid w:val="00380D42"/>
    <w:rsid w:val="003921B0"/>
    <w:rsid w:val="00396269"/>
    <w:rsid w:val="003A06E5"/>
    <w:rsid w:val="003A2051"/>
    <w:rsid w:val="003C1080"/>
    <w:rsid w:val="003C7DA2"/>
    <w:rsid w:val="003D1C4C"/>
    <w:rsid w:val="004011C0"/>
    <w:rsid w:val="00416CF8"/>
    <w:rsid w:val="00417110"/>
    <w:rsid w:val="004216F3"/>
    <w:rsid w:val="0044376D"/>
    <w:rsid w:val="00451F19"/>
    <w:rsid w:val="00473599"/>
    <w:rsid w:val="004B0AD1"/>
    <w:rsid w:val="004B71B6"/>
    <w:rsid w:val="004C0CD1"/>
    <w:rsid w:val="004C41FC"/>
    <w:rsid w:val="004C7B92"/>
    <w:rsid w:val="004D7B65"/>
    <w:rsid w:val="004E0A27"/>
    <w:rsid w:val="00504D4B"/>
    <w:rsid w:val="0055483F"/>
    <w:rsid w:val="00556868"/>
    <w:rsid w:val="00556F08"/>
    <w:rsid w:val="005606D2"/>
    <w:rsid w:val="00571E8C"/>
    <w:rsid w:val="00572A37"/>
    <w:rsid w:val="00573058"/>
    <w:rsid w:val="005B3954"/>
    <w:rsid w:val="005B3A36"/>
    <w:rsid w:val="005B7C4E"/>
    <w:rsid w:val="005C0433"/>
    <w:rsid w:val="005E0FD6"/>
    <w:rsid w:val="005E3D71"/>
    <w:rsid w:val="005E5398"/>
    <w:rsid w:val="00604B19"/>
    <w:rsid w:val="00606729"/>
    <w:rsid w:val="006124AA"/>
    <w:rsid w:val="00626A24"/>
    <w:rsid w:val="00632445"/>
    <w:rsid w:val="00667015"/>
    <w:rsid w:val="006B320E"/>
    <w:rsid w:val="006E01A6"/>
    <w:rsid w:val="006F4E01"/>
    <w:rsid w:val="00700042"/>
    <w:rsid w:val="00705466"/>
    <w:rsid w:val="007062F5"/>
    <w:rsid w:val="00742EB8"/>
    <w:rsid w:val="00744240"/>
    <w:rsid w:val="007645AA"/>
    <w:rsid w:val="00790644"/>
    <w:rsid w:val="00791CB9"/>
    <w:rsid w:val="007A55E4"/>
    <w:rsid w:val="007B2997"/>
    <w:rsid w:val="007B5EB7"/>
    <w:rsid w:val="007C6375"/>
    <w:rsid w:val="007D77D5"/>
    <w:rsid w:val="007E5A22"/>
    <w:rsid w:val="00803ECD"/>
    <w:rsid w:val="008205DE"/>
    <w:rsid w:val="00820A13"/>
    <w:rsid w:val="0083113E"/>
    <w:rsid w:val="008455A4"/>
    <w:rsid w:val="0085520B"/>
    <w:rsid w:val="00856E0D"/>
    <w:rsid w:val="008670D6"/>
    <w:rsid w:val="008833F8"/>
    <w:rsid w:val="00893627"/>
    <w:rsid w:val="008D1063"/>
    <w:rsid w:val="00900DA4"/>
    <w:rsid w:val="0091730A"/>
    <w:rsid w:val="00944BAE"/>
    <w:rsid w:val="00953F8B"/>
    <w:rsid w:val="00965B9C"/>
    <w:rsid w:val="009719FD"/>
    <w:rsid w:val="00994DA1"/>
    <w:rsid w:val="009A00AB"/>
    <w:rsid w:val="009B6646"/>
    <w:rsid w:val="009C76C7"/>
    <w:rsid w:val="00A012AB"/>
    <w:rsid w:val="00A0735C"/>
    <w:rsid w:val="00A23B40"/>
    <w:rsid w:val="00A41058"/>
    <w:rsid w:val="00A6002D"/>
    <w:rsid w:val="00A63042"/>
    <w:rsid w:val="00A65E5F"/>
    <w:rsid w:val="00A70013"/>
    <w:rsid w:val="00A76A1D"/>
    <w:rsid w:val="00A84020"/>
    <w:rsid w:val="00A91C9E"/>
    <w:rsid w:val="00AA4530"/>
    <w:rsid w:val="00AB09A0"/>
    <w:rsid w:val="00AB7880"/>
    <w:rsid w:val="00AC3037"/>
    <w:rsid w:val="00AC68EA"/>
    <w:rsid w:val="00AD1D17"/>
    <w:rsid w:val="00AD40D6"/>
    <w:rsid w:val="00AD7DF3"/>
    <w:rsid w:val="00B0035A"/>
    <w:rsid w:val="00B02461"/>
    <w:rsid w:val="00B02638"/>
    <w:rsid w:val="00B0782F"/>
    <w:rsid w:val="00B13B15"/>
    <w:rsid w:val="00B15E06"/>
    <w:rsid w:val="00B403F8"/>
    <w:rsid w:val="00B5098E"/>
    <w:rsid w:val="00B520B8"/>
    <w:rsid w:val="00B5220F"/>
    <w:rsid w:val="00B556E4"/>
    <w:rsid w:val="00B62EB9"/>
    <w:rsid w:val="00B74905"/>
    <w:rsid w:val="00B86379"/>
    <w:rsid w:val="00B87755"/>
    <w:rsid w:val="00B92898"/>
    <w:rsid w:val="00BD4F88"/>
    <w:rsid w:val="00BE1899"/>
    <w:rsid w:val="00C0357B"/>
    <w:rsid w:val="00C15168"/>
    <w:rsid w:val="00C32DEF"/>
    <w:rsid w:val="00C35396"/>
    <w:rsid w:val="00C5542A"/>
    <w:rsid w:val="00C65EF0"/>
    <w:rsid w:val="00C702CE"/>
    <w:rsid w:val="00C77FD6"/>
    <w:rsid w:val="00C837D4"/>
    <w:rsid w:val="00C91468"/>
    <w:rsid w:val="00C97521"/>
    <w:rsid w:val="00CA1606"/>
    <w:rsid w:val="00CA1A49"/>
    <w:rsid w:val="00CA60F2"/>
    <w:rsid w:val="00CD0074"/>
    <w:rsid w:val="00CE29E8"/>
    <w:rsid w:val="00CE6207"/>
    <w:rsid w:val="00CF5192"/>
    <w:rsid w:val="00D229ED"/>
    <w:rsid w:val="00D466F3"/>
    <w:rsid w:val="00D547FC"/>
    <w:rsid w:val="00D92D72"/>
    <w:rsid w:val="00DA65EE"/>
    <w:rsid w:val="00DB18A6"/>
    <w:rsid w:val="00DD06CC"/>
    <w:rsid w:val="00DE3890"/>
    <w:rsid w:val="00DE549C"/>
    <w:rsid w:val="00DE55CC"/>
    <w:rsid w:val="00DF4C20"/>
    <w:rsid w:val="00E31CB5"/>
    <w:rsid w:val="00E82873"/>
    <w:rsid w:val="00E93CE8"/>
    <w:rsid w:val="00E944C5"/>
    <w:rsid w:val="00EB3F0E"/>
    <w:rsid w:val="00EE17A4"/>
    <w:rsid w:val="00EF0001"/>
    <w:rsid w:val="00F00A05"/>
    <w:rsid w:val="00F03125"/>
    <w:rsid w:val="00F14006"/>
    <w:rsid w:val="00F1699C"/>
    <w:rsid w:val="00F556DE"/>
    <w:rsid w:val="00F6314D"/>
    <w:rsid w:val="00F7122E"/>
    <w:rsid w:val="00F73CFA"/>
    <w:rsid w:val="00F76065"/>
    <w:rsid w:val="00FA6B67"/>
    <w:rsid w:val="00FB621E"/>
    <w:rsid w:val="00FC0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8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3F8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rsid w:val="008833F8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semiHidden/>
    <w:rsid w:val="008833F8"/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8833F8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8833F8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8833F8"/>
    <w:pPr>
      <w:ind w:left="357" w:hanging="357"/>
    </w:p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C35396"/>
    <w:pPr>
      <w:spacing w:before="240" w:after="24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C35396"/>
    <w:rPr>
      <w:rFonts w:ascii="Times New Roman" w:eastAsia="Times New Roman" w:hAnsi="Times New Roman" w:cs="Times New Roman"/>
      <w:b/>
      <w:bCs/>
      <w:kern w:val="28"/>
      <w:sz w:val="32"/>
      <w:szCs w:val="32"/>
      <w:lang w:eastAsia="ar-SA"/>
    </w:rPr>
  </w:style>
  <w:style w:type="paragraph" w:styleId="Intestazione">
    <w:name w:val="header"/>
    <w:basedOn w:val="Normale"/>
    <w:link w:val="IntestazioneCarattere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00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006"/>
    <w:rPr>
      <w:rFonts w:ascii="Tahoma" w:eastAsia="Times New Roman" w:hAnsi="Tahoma" w:cs="Tahoma"/>
      <w:sz w:val="16"/>
      <w:szCs w:val="16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F140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400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4006"/>
    <w:rPr>
      <w:rFonts w:ascii="Times New Roman" w:eastAsia="Times New Roman" w:hAnsi="Times New Roman" w:cs="Cambria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40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4006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1430DC"/>
    <w:pPr>
      <w:spacing w:after="0" w:line="240" w:lineRule="auto"/>
    </w:pPr>
    <w:rPr>
      <w:rFonts w:ascii="Times New Roman" w:eastAsia="Times New Roman" w:hAnsi="Times New Roman" w:cs="Cambri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3F8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rsid w:val="008833F8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semiHidden/>
    <w:rsid w:val="008833F8"/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8833F8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8833F8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8833F8"/>
    <w:pPr>
      <w:ind w:left="357" w:hanging="357"/>
    </w:p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C35396"/>
    <w:pPr>
      <w:spacing w:before="240" w:after="24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C35396"/>
    <w:rPr>
      <w:rFonts w:ascii="Times New Roman" w:eastAsia="Times New Roman" w:hAnsi="Times New Roman" w:cs="Times New Roman"/>
      <w:b/>
      <w:bCs/>
      <w:kern w:val="28"/>
      <w:sz w:val="32"/>
      <w:szCs w:val="32"/>
      <w:lang w:eastAsia="ar-SA"/>
    </w:rPr>
  </w:style>
  <w:style w:type="paragraph" w:styleId="Intestazione">
    <w:name w:val="header"/>
    <w:basedOn w:val="Normale"/>
    <w:link w:val="IntestazioneCarattere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00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006"/>
    <w:rPr>
      <w:rFonts w:ascii="Tahoma" w:eastAsia="Times New Roman" w:hAnsi="Tahoma" w:cs="Tahoma"/>
      <w:sz w:val="16"/>
      <w:szCs w:val="16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F140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400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4006"/>
    <w:rPr>
      <w:rFonts w:ascii="Times New Roman" w:eastAsia="Times New Roman" w:hAnsi="Times New Roman" w:cs="Cambria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40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4006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1430DC"/>
    <w:pPr>
      <w:spacing w:after="0" w:line="240" w:lineRule="auto"/>
    </w:pPr>
    <w:rPr>
      <w:rFonts w:ascii="Times New Roman" w:eastAsia="Times New Roman" w:hAnsi="Times New Roman"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80150-0863-4F9A-B096-034416FF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i.russo</cp:lastModifiedBy>
  <cp:revision>2</cp:revision>
  <cp:lastPrinted>2018-02-28T15:39:00Z</cp:lastPrinted>
  <dcterms:created xsi:type="dcterms:W3CDTF">2021-05-12T09:09:00Z</dcterms:created>
  <dcterms:modified xsi:type="dcterms:W3CDTF">2021-05-12T09:09:00Z</dcterms:modified>
</cp:coreProperties>
</file>